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AAC0" w14:textId="77777777" w:rsidR="00A90CC5" w:rsidRDefault="00A90CC5" w:rsidP="00A90CC5">
      <w:pPr>
        <w:spacing w:after="0" w:line="240" w:lineRule="auto"/>
        <w:jc w:val="center"/>
        <w:rPr>
          <w:rFonts w:asciiTheme="minorHAnsi" w:eastAsia="Century Gothic" w:hAnsiTheme="minorHAnsi" w:cstheme="minorHAnsi"/>
          <w:b/>
          <w:color w:val="000000"/>
          <w:lang w:val="es-CO"/>
        </w:rPr>
      </w:pPr>
      <w:r w:rsidRPr="00A90CC5">
        <w:rPr>
          <w:rFonts w:asciiTheme="minorHAnsi" w:eastAsia="Century Gothic" w:hAnsiTheme="minorHAnsi" w:cstheme="minorHAnsi"/>
          <w:b/>
          <w:color w:val="000000"/>
          <w:lang w:val="es-CO"/>
        </w:rPr>
        <w:t xml:space="preserve">TEXTO APROBADO EN PRIMER DEBATE EN LA COMISIÓN PRIMERA DE LA CÁMARA DE REPRESENTANTES </w:t>
      </w:r>
    </w:p>
    <w:p w14:paraId="0B4DC4E5" w14:textId="5B4CBBAB" w:rsidR="00A90CC5" w:rsidRDefault="00A90CC5" w:rsidP="00A90CC5">
      <w:pPr>
        <w:spacing w:after="0" w:line="240" w:lineRule="auto"/>
        <w:jc w:val="center"/>
        <w:rPr>
          <w:rFonts w:asciiTheme="minorHAnsi" w:hAnsiTheme="minorHAnsi" w:cstheme="minorHAnsi"/>
          <w:b/>
          <w:bCs/>
        </w:rPr>
      </w:pPr>
      <w:r w:rsidRPr="00A90CC5">
        <w:rPr>
          <w:rFonts w:asciiTheme="minorHAnsi" w:eastAsia="Century Gothic" w:hAnsiTheme="minorHAnsi" w:cstheme="minorHAnsi"/>
          <w:b/>
          <w:color w:val="000000"/>
          <w:lang w:val="es-CO"/>
        </w:rPr>
        <w:t xml:space="preserve">DEL </w:t>
      </w:r>
      <w:r w:rsidR="00545EDC">
        <w:rPr>
          <w:rFonts w:asciiTheme="minorHAnsi" w:eastAsia="Century Gothic" w:hAnsiTheme="minorHAnsi" w:cstheme="minorHAnsi"/>
          <w:b/>
          <w:color w:val="000000"/>
        </w:rPr>
        <w:t xml:space="preserve">PROYECTO DE LEY </w:t>
      </w:r>
      <w:r>
        <w:rPr>
          <w:rFonts w:asciiTheme="minorHAnsi" w:eastAsia="Arial" w:hAnsiTheme="minorHAnsi" w:cstheme="minorHAnsi"/>
          <w:b/>
          <w:bCs/>
        </w:rPr>
        <w:t>No</w:t>
      </w:r>
      <w:r w:rsidRPr="00A90CC5">
        <w:rPr>
          <w:rFonts w:asciiTheme="minorHAnsi" w:eastAsia="Arial" w:hAnsiTheme="minorHAnsi" w:cstheme="minorHAnsi"/>
          <w:b/>
          <w:bCs/>
        </w:rPr>
        <w:t xml:space="preserve">. </w:t>
      </w:r>
      <w:r w:rsidRPr="00A90CC5">
        <w:rPr>
          <w:rFonts w:asciiTheme="minorHAnsi" w:hAnsiTheme="minorHAnsi" w:cstheme="minorHAnsi"/>
          <w:b/>
          <w:bCs/>
        </w:rPr>
        <w:t xml:space="preserve">569 DE 2025 CÁMARA - 280 DE 2024 SENADO </w:t>
      </w:r>
    </w:p>
    <w:p w14:paraId="6DE9C6B0" w14:textId="4DE015EF" w:rsidR="00503113" w:rsidRPr="00A90CC5" w:rsidRDefault="00A90CC5" w:rsidP="00A90CC5">
      <w:pPr>
        <w:spacing w:after="0" w:line="240" w:lineRule="auto"/>
        <w:jc w:val="center"/>
        <w:rPr>
          <w:rFonts w:asciiTheme="minorHAnsi" w:hAnsiTheme="minorHAnsi" w:cstheme="minorHAnsi"/>
          <w:b/>
          <w:bCs/>
        </w:rPr>
      </w:pPr>
      <w:r>
        <w:rPr>
          <w:rFonts w:asciiTheme="minorHAnsi" w:hAnsiTheme="minorHAnsi" w:cstheme="minorHAnsi"/>
          <w:b/>
          <w:bCs/>
        </w:rPr>
        <w:t>“</w:t>
      </w:r>
      <w:r w:rsidRPr="00A90CC5">
        <w:rPr>
          <w:rFonts w:asciiTheme="minorHAnsi" w:hAnsiTheme="minorHAnsi" w:cstheme="minorHAnsi"/>
          <w:b/>
          <w:bCs/>
        </w:rPr>
        <w:t>POR MEDIO DE LA CUAL SE ESTABLECEN MEDIDAS SOBRE LA ELABORACIÓN, PUBLICACIÓN Y DIVULGACIÓN DE ENCUESTAS Y SE DICTAN OTRAS DISPOSICIONES”</w:t>
      </w:r>
    </w:p>
    <w:p w14:paraId="3C7830FE" w14:textId="77777777" w:rsidR="00503113" w:rsidRPr="00A90CC5" w:rsidRDefault="00503113" w:rsidP="00503113">
      <w:pPr>
        <w:pBdr>
          <w:top w:val="nil"/>
          <w:left w:val="nil"/>
          <w:bottom w:val="nil"/>
          <w:right w:val="nil"/>
          <w:between w:val="nil"/>
        </w:pBdr>
        <w:spacing w:line="276" w:lineRule="auto"/>
        <w:jc w:val="center"/>
        <w:rPr>
          <w:rFonts w:asciiTheme="minorHAnsi" w:hAnsiTheme="minorHAnsi" w:cstheme="minorHAnsi"/>
          <w:b/>
          <w:bCs/>
        </w:rPr>
      </w:pPr>
    </w:p>
    <w:p w14:paraId="69FC5F35" w14:textId="15901F97" w:rsidR="00503113" w:rsidRPr="00A90CC5" w:rsidRDefault="00A90CC5" w:rsidP="00503113">
      <w:pPr>
        <w:jc w:val="center"/>
        <w:rPr>
          <w:rFonts w:asciiTheme="minorHAnsi" w:hAnsiTheme="minorHAnsi" w:cstheme="minorHAnsi"/>
          <w:b/>
        </w:rPr>
      </w:pPr>
      <w:r w:rsidRPr="00A90CC5">
        <w:rPr>
          <w:rFonts w:asciiTheme="minorHAnsi" w:hAnsiTheme="minorHAnsi" w:cstheme="minorHAnsi"/>
          <w:b/>
        </w:rPr>
        <w:t>EL CONGRESO DE COLOMBIA,</w:t>
      </w:r>
    </w:p>
    <w:p w14:paraId="11DD536A" w14:textId="77777777" w:rsidR="00503113" w:rsidRPr="00A90CC5" w:rsidRDefault="00503113" w:rsidP="00503113">
      <w:pPr>
        <w:jc w:val="center"/>
        <w:rPr>
          <w:rFonts w:asciiTheme="minorHAnsi" w:hAnsiTheme="minorHAnsi" w:cstheme="minorHAnsi"/>
          <w:b/>
        </w:rPr>
      </w:pPr>
    </w:p>
    <w:p w14:paraId="72D5D735" w14:textId="2DEACD1A" w:rsidR="00503113" w:rsidRPr="00A90CC5" w:rsidRDefault="00A90CC5" w:rsidP="00503113">
      <w:pPr>
        <w:jc w:val="center"/>
        <w:rPr>
          <w:rFonts w:asciiTheme="minorHAnsi" w:hAnsiTheme="minorHAnsi" w:cstheme="minorHAnsi"/>
          <w:b/>
        </w:rPr>
      </w:pPr>
      <w:r w:rsidRPr="00A90CC5">
        <w:rPr>
          <w:rFonts w:asciiTheme="minorHAnsi" w:hAnsiTheme="minorHAnsi" w:cstheme="minorHAnsi"/>
          <w:b/>
        </w:rPr>
        <w:t>DECRETA</w:t>
      </w:r>
    </w:p>
    <w:p w14:paraId="10ADF3F5" w14:textId="3E26FBBF" w:rsidR="00503113" w:rsidRDefault="00503113" w:rsidP="00503113">
      <w:pPr>
        <w:pBdr>
          <w:top w:val="nil"/>
          <w:left w:val="nil"/>
          <w:bottom w:val="nil"/>
          <w:right w:val="nil"/>
          <w:between w:val="nil"/>
        </w:pBdr>
        <w:spacing w:line="276" w:lineRule="auto"/>
        <w:jc w:val="center"/>
        <w:rPr>
          <w:b/>
          <w:bCs/>
        </w:rPr>
      </w:pPr>
    </w:p>
    <w:p w14:paraId="7C74C076" w14:textId="77777777" w:rsidR="00503113" w:rsidRPr="00904705" w:rsidRDefault="00503113" w:rsidP="00503113">
      <w:pPr>
        <w:jc w:val="both"/>
        <w:rPr>
          <w:color w:val="000000"/>
        </w:rPr>
      </w:pPr>
      <w:r w:rsidRPr="00904705">
        <w:rPr>
          <w:b/>
          <w:color w:val="000000"/>
        </w:rPr>
        <w:t>ARTÍCULO 1. Objeto.</w:t>
      </w:r>
      <w:r w:rsidRPr="00904705">
        <w:rPr>
          <w:color w:val="000000"/>
        </w:rPr>
        <w:t>  La presente ley tiene por objeto regular la realización y divulgación de encuestas para cargos de elección popular y de opinión política, con el fin de garantizar la igualdad al acceso de la información y la transparencia de los datos en aras de aumentar la confiabilidad y robustecer técnicamente la aplicación de dichas técnicas de investigación en el territorio nacional.</w:t>
      </w:r>
    </w:p>
    <w:p w14:paraId="2608737E" w14:textId="77777777" w:rsidR="00503113" w:rsidRPr="00904705" w:rsidRDefault="00503113" w:rsidP="00503113">
      <w:pPr>
        <w:jc w:val="both"/>
        <w:rPr>
          <w:color w:val="000000"/>
        </w:rPr>
      </w:pPr>
    </w:p>
    <w:p w14:paraId="3C2CFB92" w14:textId="5AE9FCFD" w:rsidR="00EE7500" w:rsidRPr="00F503F1" w:rsidRDefault="00503113" w:rsidP="00F503F1">
      <w:pPr>
        <w:jc w:val="both"/>
        <w:textAlignment w:val="baseline"/>
        <w:rPr>
          <w:rFonts w:asciiTheme="minorHAnsi" w:eastAsia="Times New Roman" w:hAnsiTheme="minorHAnsi" w:cstheme="minorHAnsi"/>
          <w:lang w:val="es-CO" w:eastAsia="es-CO"/>
        </w:rPr>
      </w:pPr>
      <w:r w:rsidRPr="00F503F1">
        <w:rPr>
          <w:rFonts w:asciiTheme="minorHAnsi" w:hAnsiTheme="minorHAnsi" w:cstheme="minorHAnsi"/>
          <w:b/>
          <w:color w:val="000000"/>
        </w:rPr>
        <w:t>ARTÍCULO 2.</w:t>
      </w:r>
      <w:r w:rsidR="00EE7500" w:rsidRPr="00F503F1">
        <w:rPr>
          <w:rFonts w:asciiTheme="minorHAnsi" w:hAnsiTheme="minorHAnsi" w:cstheme="minorHAnsi"/>
          <w:b/>
          <w:color w:val="000000"/>
        </w:rPr>
        <w:t xml:space="preserve"> </w:t>
      </w:r>
      <w:r w:rsidRPr="00F503F1">
        <w:rPr>
          <w:rFonts w:asciiTheme="minorHAnsi" w:hAnsiTheme="minorHAnsi" w:cstheme="minorHAnsi"/>
          <w:b/>
          <w:color w:val="000000"/>
        </w:rPr>
        <w:t xml:space="preserve"> Alcance.</w:t>
      </w:r>
      <w:r w:rsidRPr="00F503F1">
        <w:rPr>
          <w:rFonts w:asciiTheme="minorHAnsi" w:hAnsiTheme="minorHAnsi" w:cstheme="minorHAnsi"/>
          <w:color w:val="000000"/>
        </w:rPr>
        <w:t xml:space="preserve"> </w:t>
      </w:r>
      <w:r w:rsidR="00EE7500" w:rsidRPr="00F503F1">
        <w:rPr>
          <w:rFonts w:asciiTheme="minorHAnsi" w:eastAsia="Times New Roman" w:hAnsiTheme="minorHAnsi" w:cstheme="minorHAnsi"/>
          <w:lang w:val="es-CO" w:eastAsia="es-CO"/>
        </w:rPr>
        <w:t>Las disposiciones contenidas en la presente Ley son aplicables a todo estudio cuantitativo que s</w:t>
      </w:r>
      <w:r w:rsidR="00545EDC">
        <w:rPr>
          <w:rFonts w:asciiTheme="minorHAnsi" w:eastAsia="Times New Roman" w:hAnsiTheme="minorHAnsi" w:cstheme="minorHAnsi"/>
          <w:lang w:val="es-CO" w:eastAsia="es-CO"/>
        </w:rPr>
        <w:t>e publique y a las personas jurí</w:t>
      </w:r>
      <w:r w:rsidR="00EE7500" w:rsidRPr="00F503F1">
        <w:rPr>
          <w:rFonts w:asciiTheme="minorHAnsi" w:eastAsia="Times New Roman" w:hAnsiTheme="minorHAnsi" w:cstheme="minorHAnsi"/>
          <w:lang w:val="es-CO" w:eastAsia="es-CO"/>
        </w:rPr>
        <w:t>dicas que los realicen y divulguen, cuyo objetivo sea dar a conocer prefere</w:t>
      </w:r>
      <w:r w:rsidR="00545EDC">
        <w:rPr>
          <w:rFonts w:asciiTheme="minorHAnsi" w:eastAsia="Times New Roman" w:hAnsiTheme="minorHAnsi" w:cstheme="minorHAnsi"/>
          <w:lang w:val="es-CO" w:eastAsia="es-CO"/>
        </w:rPr>
        <w:t>ncias, opinión o tendencias polí</w:t>
      </w:r>
      <w:r w:rsidR="00EE7500" w:rsidRPr="00F503F1">
        <w:rPr>
          <w:rFonts w:asciiTheme="minorHAnsi" w:eastAsia="Times New Roman" w:hAnsiTheme="minorHAnsi" w:cstheme="minorHAnsi"/>
          <w:lang w:val="es-CO" w:eastAsia="es-CO"/>
        </w:rPr>
        <w:t>ticas y electorales. Incluyendo la intención de voto y la imagen de los candidatos para procesos de decisión o elección mediante voto popular</w:t>
      </w:r>
      <w:r w:rsidR="00545EDC">
        <w:rPr>
          <w:rFonts w:asciiTheme="minorHAnsi" w:eastAsia="Times New Roman" w:hAnsiTheme="minorHAnsi" w:cstheme="minorHAnsi"/>
          <w:lang w:val="es-CO" w:eastAsia="es-CO"/>
        </w:rPr>
        <w:t>.</w:t>
      </w:r>
    </w:p>
    <w:p w14:paraId="55DD675E" w14:textId="346FC90D" w:rsidR="00EE7500" w:rsidRPr="00EE7500" w:rsidRDefault="00EE7500" w:rsidP="00F503F1">
      <w:pPr>
        <w:spacing w:after="0" w:line="240" w:lineRule="auto"/>
        <w:jc w:val="both"/>
        <w:textAlignment w:val="baseline"/>
        <w:rPr>
          <w:rFonts w:asciiTheme="minorHAnsi" w:eastAsia="Times New Roman" w:hAnsiTheme="minorHAnsi" w:cstheme="minorHAnsi"/>
          <w:lang w:val="es-CO" w:eastAsia="es-CO"/>
        </w:rPr>
      </w:pPr>
      <w:r w:rsidRPr="00EE7500">
        <w:rPr>
          <w:rFonts w:asciiTheme="minorHAnsi" w:eastAsia="Times New Roman" w:hAnsiTheme="minorHAnsi" w:cstheme="minorHAnsi"/>
          <w:lang w:val="es-CO" w:eastAsia="es-CO"/>
        </w:rPr>
        <w:t>Las encuestas o estudios de opinión cuantitativa realizadas o encargadas por los partidos políticos, movimientos políticos o coaliciones, para la selección de precandidaturas o candidaturas en procesos internos con el fin de escoger sus candidatos, serán de obligator</w:t>
      </w:r>
      <w:r w:rsidR="00545EDC">
        <w:rPr>
          <w:rFonts w:asciiTheme="minorHAnsi" w:eastAsia="Times New Roman" w:hAnsiTheme="minorHAnsi" w:cstheme="minorHAnsi"/>
          <w:lang w:val="es-CO" w:eastAsia="es-CO"/>
        </w:rPr>
        <w:t>ia publicación y se regirá</w:t>
      </w:r>
      <w:r w:rsidRPr="00EE7500">
        <w:rPr>
          <w:rFonts w:asciiTheme="minorHAnsi" w:eastAsia="Times New Roman" w:hAnsiTheme="minorHAnsi" w:cstheme="minorHAnsi"/>
          <w:lang w:val="es-CO" w:eastAsia="es-CO"/>
        </w:rPr>
        <w:t>n por las disposiciones contenidas en la presente Ley.</w:t>
      </w:r>
    </w:p>
    <w:p w14:paraId="29D376A3" w14:textId="77777777" w:rsidR="00EE7500" w:rsidRPr="00EE7500" w:rsidRDefault="00EE7500" w:rsidP="00F503F1">
      <w:pPr>
        <w:spacing w:after="0" w:line="240" w:lineRule="auto"/>
        <w:jc w:val="both"/>
        <w:textAlignment w:val="baseline"/>
        <w:rPr>
          <w:rFonts w:asciiTheme="minorHAnsi" w:eastAsia="Times New Roman" w:hAnsiTheme="minorHAnsi" w:cstheme="minorHAnsi"/>
          <w:lang w:val="es-CO" w:eastAsia="es-CO"/>
        </w:rPr>
      </w:pPr>
    </w:p>
    <w:p w14:paraId="307B1DDD" w14:textId="319EC43F" w:rsidR="00EE7500" w:rsidRPr="00EE7500" w:rsidRDefault="00EE7500" w:rsidP="00F503F1">
      <w:pPr>
        <w:spacing w:after="0" w:line="240" w:lineRule="auto"/>
        <w:jc w:val="both"/>
        <w:textAlignment w:val="baseline"/>
        <w:rPr>
          <w:rFonts w:asciiTheme="minorHAnsi" w:eastAsia="Times New Roman" w:hAnsiTheme="minorHAnsi" w:cstheme="minorHAnsi"/>
          <w:lang w:val="es-CO" w:eastAsia="es-CO"/>
        </w:rPr>
      </w:pPr>
      <w:r w:rsidRPr="00EE7500">
        <w:rPr>
          <w:rFonts w:asciiTheme="minorHAnsi" w:eastAsia="Times New Roman" w:hAnsiTheme="minorHAnsi" w:cstheme="minorHAnsi"/>
          <w:lang w:val="es-CO" w:eastAsia="es-CO"/>
        </w:rPr>
        <w:t>Sin importar el nombre, denominación o met</w:t>
      </w:r>
      <w:r w:rsidR="00545EDC">
        <w:rPr>
          <w:rFonts w:asciiTheme="minorHAnsi" w:eastAsia="Times New Roman" w:hAnsiTheme="minorHAnsi" w:cstheme="minorHAnsi"/>
          <w:lang w:val="es-CO" w:eastAsia="es-CO"/>
        </w:rPr>
        <w:t>odologí</w:t>
      </w:r>
      <w:r w:rsidRPr="00F503F1">
        <w:rPr>
          <w:rFonts w:asciiTheme="minorHAnsi" w:eastAsia="Times New Roman" w:hAnsiTheme="minorHAnsi" w:cstheme="minorHAnsi"/>
          <w:lang w:val="es-CO" w:eastAsia="es-CO"/>
        </w:rPr>
        <w:t>a que se le dé al estudio</w:t>
      </w:r>
      <w:r w:rsidRPr="00EE7500">
        <w:rPr>
          <w:rFonts w:asciiTheme="minorHAnsi" w:eastAsia="Times New Roman" w:hAnsiTheme="minorHAnsi" w:cstheme="minorHAnsi"/>
          <w:lang w:val="es-CO" w:eastAsia="es-CO"/>
        </w:rPr>
        <w:t xml:space="preserve"> cuantitativo para ser publicado y divulgado deberá cumplir todas las exigencias de la presente ley para las encuestas que se incluyan en dicho estudio.</w:t>
      </w:r>
    </w:p>
    <w:p w14:paraId="7E35682B" w14:textId="77777777" w:rsidR="00EE7500" w:rsidRPr="00EE7500" w:rsidRDefault="00EE7500" w:rsidP="00F503F1">
      <w:pPr>
        <w:spacing w:after="0" w:line="240" w:lineRule="auto"/>
        <w:jc w:val="both"/>
        <w:textAlignment w:val="baseline"/>
        <w:rPr>
          <w:rFonts w:asciiTheme="minorHAnsi" w:eastAsia="Times New Roman" w:hAnsiTheme="minorHAnsi" w:cstheme="minorHAnsi"/>
          <w:lang w:val="es-CO" w:eastAsia="es-CO"/>
        </w:rPr>
      </w:pPr>
    </w:p>
    <w:p w14:paraId="61EA455C" w14:textId="3E6FA981" w:rsidR="00EE7500" w:rsidRPr="00EE7500" w:rsidRDefault="00EE7500" w:rsidP="00F503F1">
      <w:pPr>
        <w:spacing w:after="0" w:line="240" w:lineRule="auto"/>
        <w:jc w:val="both"/>
        <w:textAlignment w:val="baseline"/>
        <w:rPr>
          <w:rFonts w:asciiTheme="minorHAnsi" w:eastAsia="Times New Roman" w:hAnsiTheme="minorHAnsi" w:cstheme="minorHAnsi"/>
          <w:lang w:val="es-CO" w:eastAsia="es-CO"/>
        </w:rPr>
      </w:pPr>
      <w:r w:rsidRPr="00EE7500">
        <w:rPr>
          <w:rFonts w:asciiTheme="minorHAnsi" w:eastAsia="Times New Roman" w:hAnsiTheme="minorHAnsi" w:cstheme="minorHAnsi"/>
          <w:lang w:val="es-CO" w:eastAsia="es-CO"/>
        </w:rPr>
        <w:t>Al publicar los resultados de un sondeo en prensa, radio, televisión o plataformas digitales</w:t>
      </w:r>
      <w:r w:rsidR="00545EDC">
        <w:rPr>
          <w:rFonts w:asciiTheme="minorHAnsi" w:eastAsia="Times New Roman" w:hAnsiTheme="minorHAnsi" w:cstheme="minorHAnsi"/>
          <w:lang w:val="es-CO" w:eastAsia="es-CO"/>
        </w:rPr>
        <w:t xml:space="preserve"> </w:t>
      </w:r>
      <w:r w:rsidRPr="00EE7500">
        <w:rPr>
          <w:rFonts w:asciiTheme="minorHAnsi" w:eastAsia="Times New Roman" w:hAnsiTheme="minorHAnsi" w:cstheme="minorHAnsi"/>
          <w:lang w:val="es-CO" w:eastAsia="es-CO"/>
        </w:rPr>
        <w:t>-incluidas las redes s</w:t>
      </w:r>
      <w:r w:rsidR="00545EDC">
        <w:rPr>
          <w:rFonts w:asciiTheme="minorHAnsi" w:eastAsia="Times New Roman" w:hAnsiTheme="minorHAnsi" w:cstheme="minorHAnsi"/>
          <w:lang w:val="es-CO" w:eastAsia="es-CO"/>
        </w:rPr>
        <w:t>ociales y plataformas digitales</w:t>
      </w:r>
      <w:r w:rsidRPr="00EE7500">
        <w:rPr>
          <w:rFonts w:asciiTheme="minorHAnsi" w:eastAsia="Times New Roman" w:hAnsiTheme="minorHAnsi" w:cstheme="minorHAnsi"/>
          <w:lang w:val="es-CO" w:eastAsia="es-CO"/>
        </w:rPr>
        <w:t>- se debe informar que éste no</w:t>
      </w:r>
      <w:r w:rsidR="00F503F1" w:rsidRPr="00F503F1">
        <w:rPr>
          <w:rFonts w:asciiTheme="minorHAnsi" w:eastAsia="Times New Roman" w:hAnsiTheme="minorHAnsi" w:cstheme="minorHAnsi"/>
          <w:lang w:val="es-CO" w:eastAsia="es-CO"/>
        </w:rPr>
        <w:t xml:space="preserve"> se considera representativo del</w:t>
      </w:r>
      <w:r w:rsidRPr="00EE7500">
        <w:rPr>
          <w:rFonts w:asciiTheme="minorHAnsi" w:eastAsia="Times New Roman" w:hAnsiTheme="minorHAnsi" w:cstheme="minorHAnsi"/>
          <w:lang w:val="es-CO" w:eastAsia="es-CO"/>
        </w:rPr>
        <w:t xml:space="preserve"> grupo poblacional en donde se adelantó la medición, de conformidad con l</w:t>
      </w:r>
      <w:r w:rsidR="00F503F1" w:rsidRPr="00F503F1">
        <w:rPr>
          <w:rFonts w:asciiTheme="minorHAnsi" w:eastAsia="Times New Roman" w:hAnsiTheme="minorHAnsi" w:cstheme="minorHAnsi"/>
          <w:lang w:val="es-CO" w:eastAsia="es-CO"/>
        </w:rPr>
        <w:t>as definiciones del articulo 3 d</w:t>
      </w:r>
      <w:r w:rsidRPr="00EE7500">
        <w:rPr>
          <w:rFonts w:asciiTheme="minorHAnsi" w:eastAsia="Times New Roman" w:hAnsiTheme="minorHAnsi" w:cstheme="minorHAnsi"/>
          <w:lang w:val="es-CO" w:eastAsia="es-CO"/>
        </w:rPr>
        <w:t>e la presente ley</w:t>
      </w:r>
      <w:r w:rsidR="009822A7">
        <w:rPr>
          <w:rFonts w:asciiTheme="minorHAnsi" w:eastAsia="Times New Roman" w:hAnsiTheme="minorHAnsi" w:cstheme="minorHAnsi"/>
          <w:lang w:val="es-CO" w:eastAsia="es-CO"/>
        </w:rPr>
        <w:t>.</w:t>
      </w:r>
    </w:p>
    <w:p w14:paraId="143D01F3" w14:textId="77777777" w:rsidR="00EE7500" w:rsidRDefault="00EE7500" w:rsidP="00503113">
      <w:pPr>
        <w:jc w:val="both"/>
        <w:rPr>
          <w:color w:val="000000"/>
        </w:rPr>
      </w:pPr>
    </w:p>
    <w:p w14:paraId="4BD72C1C" w14:textId="0A1B0E4C" w:rsidR="00503113" w:rsidRDefault="00503113" w:rsidP="00503113">
      <w:pPr>
        <w:jc w:val="both"/>
        <w:rPr>
          <w:color w:val="000000"/>
        </w:rPr>
      </w:pPr>
      <w:r w:rsidRPr="00904705">
        <w:rPr>
          <w:b/>
          <w:color w:val="000000"/>
        </w:rPr>
        <w:t xml:space="preserve">Artículo 3. Definiciones. </w:t>
      </w:r>
      <w:r w:rsidRPr="00904705">
        <w:rPr>
          <w:color w:val="000000"/>
        </w:rPr>
        <w:t>Para la aplicación de la presente Ley, se deben considerar las siguientes definiciones:</w:t>
      </w:r>
    </w:p>
    <w:p w14:paraId="0A82DEB4" w14:textId="77777777" w:rsidR="00545EDC" w:rsidRPr="00904705" w:rsidRDefault="00545EDC" w:rsidP="00545EDC">
      <w:pPr>
        <w:jc w:val="both"/>
        <w:rPr>
          <w:color w:val="000000" w:themeColor="text1"/>
        </w:rPr>
      </w:pPr>
      <w:r>
        <w:rPr>
          <w:b/>
          <w:color w:val="000000" w:themeColor="text1"/>
        </w:rPr>
        <w:t xml:space="preserve">Medios masivos: </w:t>
      </w:r>
      <w:r>
        <w:rPr>
          <w:color w:val="000000" w:themeColor="text1"/>
        </w:rPr>
        <w:t>Canales de comunicación, tradicionales o digitales, de amplia audiencia o difusión como prensa, radio, televisión, plataformas de internet y redes sociales.</w:t>
      </w:r>
    </w:p>
    <w:p w14:paraId="3FA06FDC" w14:textId="130164E9" w:rsidR="00503113" w:rsidRDefault="00503113" w:rsidP="00503113">
      <w:pPr>
        <w:jc w:val="both"/>
        <w:rPr>
          <w:color w:val="000000"/>
        </w:rPr>
      </w:pPr>
      <w:r w:rsidRPr="00904705">
        <w:rPr>
          <w:b/>
          <w:color w:val="000000"/>
        </w:rPr>
        <w:lastRenderedPageBreak/>
        <w:t>Encuesta o encuesta por muestreo probabilístico:</w:t>
      </w:r>
      <w:r w:rsidRPr="00904705">
        <w:rPr>
          <w:color w:val="000000"/>
        </w:rPr>
        <w:t xml:space="preserve">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7EED47F3" w14:textId="007AB010" w:rsidR="00503113" w:rsidRDefault="00503113" w:rsidP="00503113">
      <w:pPr>
        <w:jc w:val="both"/>
        <w:rPr>
          <w:color w:val="000000"/>
        </w:rPr>
      </w:pPr>
      <w:r w:rsidRPr="00904705">
        <w:rPr>
          <w:b/>
          <w:color w:val="000000"/>
        </w:rPr>
        <w:t>Sondeo:</w:t>
      </w:r>
      <w:r w:rsidRPr="00904705">
        <w:rPr>
          <w:color w:val="000000"/>
        </w:rPr>
        <w:t xml:space="preserve"> Procedimiento que permite conocer las opiniones y actitudes de un grupo específico por medio de un cuestionario que se aplica a un grupo de sus integrantes. Este procedimiento expedito de medición está dirigido a muestras no probabilísticas de la población que no se juzgan como representativas del conjunto al que pertenecen. Los resultados de este tipo de estudio no son generalizables para la población, su propósito es conocer la percepción sobre temas de interés político instituciones o funcionarios. No podrán publicarse ni divulgarse sondeos sobre intención de voto electoral.</w:t>
      </w:r>
    </w:p>
    <w:p w14:paraId="2E1BC78B" w14:textId="1EC3ED44" w:rsidR="00545EDC" w:rsidRPr="00CB2646" w:rsidRDefault="00545EDC" w:rsidP="00545EDC">
      <w:pPr>
        <w:jc w:val="both"/>
        <w:rPr>
          <w:color w:val="000000" w:themeColor="text1"/>
        </w:rPr>
      </w:pPr>
      <w:r>
        <w:rPr>
          <w:b/>
          <w:color w:val="000000" w:themeColor="text1"/>
        </w:rPr>
        <w:t xml:space="preserve">Divulgar: </w:t>
      </w:r>
      <w:r w:rsidRPr="00CB2646">
        <w:rPr>
          <w:color w:val="000000" w:themeColor="text1"/>
        </w:rPr>
        <w:t>Poner a disposición de un público amplio, directo o potencial, la información o resultados de una encuesta, de modo que cualquier persona interesada pueda acceder a ella sin nec</w:t>
      </w:r>
      <w:r w:rsidR="009822A7">
        <w:rPr>
          <w:color w:val="000000" w:themeColor="text1"/>
        </w:rPr>
        <w:t>esidad de autorización especial.</w:t>
      </w:r>
      <w:r w:rsidRPr="00CB2646">
        <w:rPr>
          <w:color w:val="000000" w:themeColor="text1"/>
        </w:rPr>
        <w:t xml:space="preserve"> Se incluyen las siguientes:</w:t>
      </w:r>
    </w:p>
    <w:p w14:paraId="4C758E97" w14:textId="62DAEB7A" w:rsidR="00545EDC" w:rsidRDefault="00545EDC" w:rsidP="00EB72E0">
      <w:pPr>
        <w:spacing w:after="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Pr="0023416D">
        <w:rPr>
          <w:rFonts w:asciiTheme="minorHAnsi" w:hAnsiTheme="minorHAnsi" w:cstheme="minorHAnsi"/>
          <w:b/>
          <w:color w:val="000000" w:themeColor="text1"/>
        </w:rPr>
        <w:t>1.</w:t>
      </w:r>
      <w:r w:rsidR="00EB72E0">
        <w:rPr>
          <w:rFonts w:asciiTheme="minorHAnsi" w:hAnsiTheme="minorHAnsi" w:cstheme="minorHAnsi"/>
          <w:b/>
          <w:color w:val="000000" w:themeColor="text1"/>
        </w:rPr>
        <w:t xml:space="preserve"> </w:t>
      </w:r>
      <w:r w:rsidRPr="0023416D">
        <w:rPr>
          <w:rFonts w:asciiTheme="minorHAnsi" w:hAnsiTheme="minorHAnsi" w:cstheme="minorHAnsi"/>
          <w:b/>
          <w:color w:val="000000" w:themeColor="text1"/>
        </w:rPr>
        <w:t>Formas impresas:</w:t>
      </w:r>
    </w:p>
    <w:p w14:paraId="216ED1C0" w14:textId="69FDE636" w:rsidR="00545EDC" w:rsidRPr="0023416D" w:rsidRDefault="00545EDC" w:rsidP="00EB72E0">
      <w:pPr>
        <w:spacing w:after="0" w:line="240" w:lineRule="auto"/>
        <w:ind w:left="720"/>
        <w:jc w:val="both"/>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a. Publicación en periódicos, revistas, folletos, boletines o cualquier material editorial impreso.</w:t>
      </w:r>
    </w:p>
    <w:p w14:paraId="33716939"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b. Distribución de ejemplares o copias físicas destinados a circulación masiva.</w:t>
      </w:r>
    </w:p>
    <w:p w14:paraId="20DE8B92" w14:textId="77777777" w:rsidR="00545EDC" w:rsidRPr="0023416D" w:rsidRDefault="00545EDC" w:rsidP="00EB72E0">
      <w:pPr>
        <w:spacing w:after="0" w:line="240" w:lineRule="auto"/>
        <w:jc w:val="both"/>
        <w:textAlignment w:val="baseline"/>
        <w:rPr>
          <w:rFonts w:asciiTheme="minorHAnsi" w:eastAsia="Times New Roman" w:hAnsiTheme="minorHAnsi" w:cstheme="minorHAnsi"/>
          <w:lang w:val="es-CO" w:eastAsia="es-CO"/>
        </w:rPr>
      </w:pPr>
    </w:p>
    <w:p w14:paraId="149D2E0B" w14:textId="77777777" w:rsidR="00545EDC" w:rsidRPr="0023416D" w:rsidRDefault="00545EDC" w:rsidP="00EB72E0">
      <w:pPr>
        <w:spacing w:after="0" w:line="240" w:lineRule="auto"/>
        <w:jc w:val="both"/>
        <w:textAlignment w:val="baseline"/>
        <w:rPr>
          <w:rFonts w:asciiTheme="minorHAnsi" w:eastAsia="Times New Roman" w:hAnsiTheme="minorHAnsi" w:cstheme="minorHAnsi"/>
          <w:b/>
          <w:lang w:val="es-CO" w:eastAsia="es-CO"/>
        </w:rPr>
      </w:pPr>
      <w:r>
        <w:rPr>
          <w:rFonts w:asciiTheme="minorHAnsi" w:eastAsia="Times New Roman" w:hAnsiTheme="minorHAnsi" w:cstheme="minorHAnsi"/>
          <w:lang w:val="es-CO" w:eastAsia="es-CO"/>
        </w:rPr>
        <w:t xml:space="preserve">      </w:t>
      </w:r>
      <w:r w:rsidRPr="0023416D">
        <w:rPr>
          <w:rFonts w:asciiTheme="minorHAnsi" w:eastAsia="Times New Roman" w:hAnsiTheme="minorHAnsi" w:cstheme="minorHAnsi"/>
          <w:b/>
          <w:lang w:val="es-CO" w:eastAsia="es-CO"/>
        </w:rPr>
        <w:t>2. Emisiones audiovisuales:</w:t>
      </w:r>
    </w:p>
    <w:p w14:paraId="1D6BC0D0" w14:textId="77777777" w:rsidR="00545EDC" w:rsidRPr="0023416D" w:rsidRDefault="00545EDC" w:rsidP="00EB72E0">
      <w:pPr>
        <w:spacing w:after="0" w:line="240" w:lineRule="auto"/>
        <w:ind w:left="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a. Transmisión radial o televisiva (incluyendo señales de radio FM/AM, televisión abierta o por suscripción).</w:t>
      </w:r>
    </w:p>
    <w:p w14:paraId="49D0A508"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b. Segmentos en noticieros, programas de opinión o especialidades temáticas.</w:t>
      </w:r>
    </w:p>
    <w:p w14:paraId="645809F5" w14:textId="77777777" w:rsidR="00545EDC" w:rsidRPr="0023416D" w:rsidRDefault="00545EDC" w:rsidP="00EB72E0">
      <w:pPr>
        <w:spacing w:after="0" w:line="240" w:lineRule="auto"/>
        <w:jc w:val="both"/>
        <w:textAlignment w:val="baseline"/>
        <w:rPr>
          <w:rFonts w:asciiTheme="minorHAnsi" w:eastAsia="Times New Roman" w:hAnsiTheme="minorHAnsi" w:cstheme="minorHAnsi"/>
          <w:lang w:val="es-CO" w:eastAsia="es-CO"/>
        </w:rPr>
      </w:pPr>
    </w:p>
    <w:p w14:paraId="2082E4FB" w14:textId="77777777" w:rsidR="00545EDC" w:rsidRPr="0023416D" w:rsidRDefault="00545EDC" w:rsidP="00EB72E0">
      <w:pPr>
        <w:spacing w:after="0" w:line="240" w:lineRule="auto"/>
        <w:jc w:val="both"/>
        <w:textAlignment w:val="baseline"/>
        <w:rPr>
          <w:rFonts w:asciiTheme="minorHAnsi" w:eastAsia="Times New Roman" w:hAnsiTheme="minorHAnsi" w:cstheme="minorHAnsi"/>
          <w:b/>
          <w:lang w:val="es-CO" w:eastAsia="es-CO"/>
        </w:rPr>
      </w:pPr>
      <w:r>
        <w:rPr>
          <w:rFonts w:asciiTheme="minorHAnsi" w:eastAsia="Times New Roman" w:hAnsiTheme="minorHAnsi" w:cstheme="minorHAnsi"/>
          <w:lang w:val="es-CO" w:eastAsia="es-CO"/>
        </w:rPr>
        <w:t xml:space="preserve">     </w:t>
      </w:r>
      <w:r w:rsidRPr="00256F3E">
        <w:rPr>
          <w:rFonts w:asciiTheme="minorHAnsi" w:eastAsia="Times New Roman" w:hAnsiTheme="minorHAnsi" w:cstheme="minorHAnsi"/>
          <w:b/>
          <w:lang w:val="es-CO" w:eastAsia="es-CO"/>
        </w:rPr>
        <w:t xml:space="preserve"> </w:t>
      </w:r>
      <w:r w:rsidRPr="0023416D">
        <w:rPr>
          <w:rFonts w:asciiTheme="minorHAnsi" w:eastAsia="Times New Roman" w:hAnsiTheme="minorHAnsi" w:cstheme="minorHAnsi"/>
          <w:b/>
          <w:lang w:val="es-CO" w:eastAsia="es-CO"/>
        </w:rPr>
        <w:t>3. Difusión electrónica:</w:t>
      </w:r>
    </w:p>
    <w:p w14:paraId="3C267962"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a. Publicación en sitios web, portales de noticias, blogs y aplicaciones móviles.</w:t>
      </w:r>
    </w:p>
    <w:p w14:paraId="2B0B71C8"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b. Envío por correo electrónico a listas de distribución masiva.</w:t>
      </w:r>
    </w:p>
    <w:p w14:paraId="7118BC93" w14:textId="77777777" w:rsidR="00545EDC" w:rsidRPr="0023416D" w:rsidRDefault="00545EDC" w:rsidP="00EB72E0">
      <w:pPr>
        <w:spacing w:after="0" w:line="240" w:lineRule="auto"/>
        <w:jc w:val="both"/>
        <w:textAlignment w:val="baseline"/>
        <w:rPr>
          <w:rFonts w:asciiTheme="minorHAnsi" w:eastAsia="Times New Roman" w:hAnsiTheme="minorHAnsi" w:cstheme="minorHAnsi"/>
          <w:lang w:val="es-CO" w:eastAsia="es-CO"/>
        </w:rPr>
      </w:pPr>
    </w:p>
    <w:p w14:paraId="5D075913" w14:textId="77777777" w:rsidR="00545EDC" w:rsidRPr="0023416D" w:rsidRDefault="00545EDC" w:rsidP="00EB72E0">
      <w:pPr>
        <w:spacing w:after="0" w:line="240" w:lineRule="auto"/>
        <w:jc w:val="both"/>
        <w:textAlignment w:val="baseline"/>
        <w:rPr>
          <w:rFonts w:asciiTheme="minorHAnsi" w:eastAsia="Times New Roman" w:hAnsiTheme="minorHAnsi" w:cstheme="minorHAnsi"/>
          <w:b/>
          <w:lang w:val="es-CO" w:eastAsia="es-CO"/>
        </w:rPr>
      </w:pPr>
      <w:r>
        <w:rPr>
          <w:rFonts w:asciiTheme="minorHAnsi" w:eastAsia="Times New Roman" w:hAnsiTheme="minorHAnsi" w:cstheme="minorHAnsi"/>
          <w:lang w:val="es-CO" w:eastAsia="es-CO"/>
        </w:rPr>
        <w:t xml:space="preserve">     </w:t>
      </w:r>
      <w:r w:rsidRPr="00256F3E">
        <w:rPr>
          <w:rFonts w:asciiTheme="minorHAnsi" w:eastAsia="Times New Roman" w:hAnsiTheme="minorHAnsi" w:cstheme="minorHAnsi"/>
          <w:b/>
          <w:lang w:val="es-CO" w:eastAsia="es-CO"/>
        </w:rPr>
        <w:t xml:space="preserve"> </w:t>
      </w:r>
      <w:r w:rsidRPr="0023416D">
        <w:rPr>
          <w:rFonts w:asciiTheme="minorHAnsi" w:eastAsia="Times New Roman" w:hAnsiTheme="minorHAnsi" w:cstheme="minorHAnsi"/>
          <w:b/>
          <w:lang w:val="es-CO" w:eastAsia="es-CO"/>
        </w:rPr>
        <w:t>4. Medios sociales y mensajería:</w:t>
      </w:r>
    </w:p>
    <w:p w14:paraId="2307D298" w14:textId="77777777" w:rsidR="00545EDC" w:rsidRPr="0023416D" w:rsidRDefault="00545EDC" w:rsidP="00EB72E0">
      <w:pPr>
        <w:spacing w:after="0" w:line="240" w:lineRule="auto"/>
        <w:ind w:left="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a. Publicaciones en redes sociales (Twitter, Facebook, Instagram, TikTok u otras plataformas).</w:t>
      </w:r>
    </w:p>
    <w:p w14:paraId="7E26D493" w14:textId="77777777" w:rsidR="00545EDC" w:rsidRPr="0023416D" w:rsidRDefault="00545EDC" w:rsidP="00EB72E0">
      <w:pPr>
        <w:spacing w:after="0" w:line="240" w:lineRule="auto"/>
        <w:ind w:left="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b. Compartición en servicios de mensajeria instantánea (WhatsApp, Telegram, Messenger) mediante listas de difusión o grupos públicos.</w:t>
      </w:r>
    </w:p>
    <w:p w14:paraId="32B616EC" w14:textId="77777777" w:rsidR="00545EDC" w:rsidRPr="0023416D" w:rsidRDefault="00545EDC" w:rsidP="00EB72E0">
      <w:pPr>
        <w:spacing w:after="0" w:line="240" w:lineRule="auto"/>
        <w:jc w:val="both"/>
        <w:textAlignment w:val="baseline"/>
        <w:rPr>
          <w:rFonts w:asciiTheme="minorHAnsi" w:eastAsia="Times New Roman" w:hAnsiTheme="minorHAnsi" w:cstheme="minorHAnsi"/>
          <w:lang w:val="es-CO" w:eastAsia="es-CO"/>
        </w:rPr>
      </w:pPr>
    </w:p>
    <w:p w14:paraId="0E9A179B" w14:textId="77777777" w:rsidR="00545EDC" w:rsidRPr="0023416D" w:rsidRDefault="00545EDC" w:rsidP="00EB72E0">
      <w:pPr>
        <w:spacing w:after="0" w:line="240" w:lineRule="auto"/>
        <w:jc w:val="both"/>
        <w:textAlignment w:val="baseline"/>
        <w:rPr>
          <w:rFonts w:asciiTheme="minorHAnsi" w:eastAsia="Times New Roman" w:hAnsiTheme="minorHAnsi" w:cstheme="minorHAnsi"/>
          <w:b/>
          <w:lang w:val="es-CO" w:eastAsia="es-CO"/>
        </w:rPr>
      </w:pPr>
      <w:r>
        <w:rPr>
          <w:rFonts w:asciiTheme="minorHAnsi" w:eastAsia="Times New Roman" w:hAnsiTheme="minorHAnsi" w:cstheme="minorHAnsi"/>
          <w:lang w:val="es-CO" w:eastAsia="es-CO"/>
        </w:rPr>
        <w:t xml:space="preserve">     </w:t>
      </w:r>
      <w:r w:rsidRPr="00256F3E">
        <w:rPr>
          <w:rFonts w:asciiTheme="minorHAnsi" w:eastAsia="Times New Roman" w:hAnsiTheme="minorHAnsi" w:cstheme="minorHAnsi"/>
          <w:b/>
          <w:lang w:val="es-CO" w:eastAsia="es-CO"/>
        </w:rPr>
        <w:t xml:space="preserve"> </w:t>
      </w:r>
      <w:r w:rsidRPr="0023416D">
        <w:rPr>
          <w:rFonts w:asciiTheme="minorHAnsi" w:eastAsia="Times New Roman" w:hAnsiTheme="minorHAnsi" w:cstheme="minorHAnsi"/>
          <w:b/>
          <w:lang w:val="es-CO" w:eastAsia="es-CO"/>
        </w:rPr>
        <w:t>5. Medios alternativos:</w:t>
      </w:r>
    </w:p>
    <w:p w14:paraId="301DB007"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a. Carteleras electrónicas y pantallas urbanas</w:t>
      </w:r>
    </w:p>
    <w:p w14:paraId="7DF6CE5C" w14:textId="77777777" w:rsidR="00545EDC" w:rsidRPr="0023416D" w:rsidRDefault="00545EDC" w:rsidP="00EB72E0">
      <w:pPr>
        <w:spacing w:after="0" w:line="240" w:lineRule="auto"/>
        <w:ind w:firstLine="720"/>
        <w:jc w:val="both"/>
        <w:textAlignment w:val="baseline"/>
        <w:rPr>
          <w:rFonts w:asciiTheme="minorHAnsi" w:eastAsia="Times New Roman" w:hAnsiTheme="minorHAnsi" w:cstheme="minorHAnsi"/>
          <w:lang w:val="es-CO" w:eastAsia="es-CO"/>
        </w:rPr>
      </w:pPr>
      <w:r w:rsidRPr="0023416D">
        <w:rPr>
          <w:rFonts w:asciiTheme="minorHAnsi" w:eastAsia="Times New Roman" w:hAnsiTheme="minorHAnsi" w:cstheme="minorHAnsi"/>
          <w:lang w:val="es-CO" w:eastAsia="es-CO"/>
        </w:rPr>
        <w:t>b. Podcasts y streaming en vivo o diferido</w:t>
      </w:r>
    </w:p>
    <w:p w14:paraId="0057AD1E" w14:textId="77777777" w:rsidR="00545EDC" w:rsidRPr="0023416D" w:rsidRDefault="00545EDC" w:rsidP="00EB72E0">
      <w:pPr>
        <w:spacing w:after="0" w:line="240" w:lineRule="auto"/>
        <w:jc w:val="both"/>
        <w:rPr>
          <w:rFonts w:asciiTheme="minorHAnsi" w:hAnsiTheme="minorHAnsi" w:cstheme="minorHAnsi"/>
          <w:color w:val="000000" w:themeColor="text1"/>
        </w:rPr>
      </w:pPr>
    </w:p>
    <w:p w14:paraId="1F8C6C9C" w14:textId="79BBC8D0" w:rsidR="00503113" w:rsidRDefault="00503113" w:rsidP="00EB72E0">
      <w:pPr>
        <w:spacing w:after="0" w:line="240" w:lineRule="auto"/>
        <w:jc w:val="both"/>
        <w:rPr>
          <w:color w:val="000000"/>
        </w:rPr>
      </w:pPr>
      <w:r w:rsidRPr="00904705">
        <w:rPr>
          <w:b/>
          <w:color w:val="000000"/>
        </w:rPr>
        <w:lastRenderedPageBreak/>
        <w:t>Firmas encuestadoras:</w:t>
      </w:r>
      <w:r w:rsidRPr="00904705">
        <w:rPr>
          <w:color w:val="000000"/>
        </w:rPr>
        <w:t xml:space="preserve"> Para todos los efectos de la presente ley, se entenderán como firmas encuestadoras a todas las personas jurídicas* que publiquen encuestas cuyo objetivo sea el levantamiento, la recolección y el procesamiento de datos, con el fin de dar a conocer preferencias o tendencias políticas o electorales para procesos de decisión o elección mediante voto popular, y que se hayan registrado para tal fin en el Registro Nacional de Firmas Encuestadoras</w:t>
      </w:r>
      <w:r w:rsidR="006E7EF1">
        <w:rPr>
          <w:color w:val="000000"/>
        </w:rPr>
        <w:t>, y en el Consejo Nacional Electoral CNE</w:t>
      </w:r>
      <w:r w:rsidRPr="00904705">
        <w:rPr>
          <w:color w:val="000000"/>
        </w:rPr>
        <w:t>.</w:t>
      </w:r>
    </w:p>
    <w:p w14:paraId="6876AC7C" w14:textId="77777777" w:rsidR="00EB72E0" w:rsidRDefault="00EB72E0" w:rsidP="00EB72E0">
      <w:pPr>
        <w:spacing w:after="0" w:line="240" w:lineRule="auto"/>
        <w:jc w:val="both"/>
        <w:rPr>
          <w:b/>
          <w:color w:val="000000"/>
        </w:rPr>
      </w:pPr>
    </w:p>
    <w:p w14:paraId="5910FD3B" w14:textId="030B6D8F" w:rsidR="00503113" w:rsidRDefault="00503113" w:rsidP="00EB72E0">
      <w:pPr>
        <w:spacing w:after="0" w:line="240" w:lineRule="auto"/>
        <w:jc w:val="both"/>
        <w:rPr>
          <w:color w:val="000000"/>
        </w:rPr>
      </w:pPr>
      <w:r w:rsidRPr="00904705">
        <w:rPr>
          <w:b/>
          <w:color w:val="000000"/>
        </w:rPr>
        <w:t>Municipios y Distritos de inclusión forzosa para la toma de muestras en encuestas de carácter nacional:</w:t>
      </w:r>
      <w:r w:rsidRPr="00904705">
        <w:rPr>
          <w:color w:val="000000"/>
        </w:rPr>
        <w:t xml:space="preserve"> S</w:t>
      </w:r>
      <w:r w:rsidR="006E7EF1">
        <w:rPr>
          <w:color w:val="000000"/>
        </w:rPr>
        <w:t xml:space="preserve">on los </w:t>
      </w:r>
      <w:r w:rsidRPr="00904705">
        <w:rPr>
          <w:color w:val="000000"/>
        </w:rPr>
        <w:t>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60E5B805" w14:textId="77777777" w:rsidR="00EB72E0" w:rsidRDefault="00EB72E0" w:rsidP="00EB72E0">
      <w:pPr>
        <w:spacing w:after="0" w:line="240" w:lineRule="auto"/>
        <w:jc w:val="both"/>
        <w:rPr>
          <w:b/>
          <w:color w:val="000000"/>
        </w:rPr>
      </w:pPr>
    </w:p>
    <w:p w14:paraId="694F5F37" w14:textId="2B2C632E" w:rsidR="00503113" w:rsidRDefault="00503113" w:rsidP="00EB72E0">
      <w:pPr>
        <w:spacing w:after="0" w:line="240" w:lineRule="auto"/>
        <w:jc w:val="both"/>
        <w:rPr>
          <w:color w:val="000000"/>
        </w:rPr>
      </w:pPr>
      <w:r w:rsidRPr="00904705">
        <w:rPr>
          <w:b/>
          <w:color w:val="000000"/>
        </w:rPr>
        <w:t>Municipios grandes para la toma de muestras en investigaciones cuantitativas:</w:t>
      </w:r>
      <w:r w:rsidR="006E7EF1">
        <w:rPr>
          <w:color w:val="000000"/>
        </w:rPr>
        <w:t xml:space="preserve"> Son los </w:t>
      </w:r>
      <w:r w:rsidRPr="00904705">
        <w:rPr>
          <w:color w:val="000000"/>
        </w:rPr>
        <w:t xml:space="preserve">municipios con </w:t>
      </w:r>
      <w:r w:rsidR="006E7EF1">
        <w:rPr>
          <w:color w:val="000000"/>
        </w:rPr>
        <w:t>una población inferior a 800.000</w:t>
      </w:r>
      <w:r w:rsidRPr="00904705">
        <w:rPr>
          <w:color w:val="000000"/>
        </w:rPr>
        <w:t xml:space="preserve"> y superior </w:t>
      </w:r>
      <w:r w:rsidR="006E7EF1">
        <w:rPr>
          <w:color w:val="000000"/>
        </w:rPr>
        <w:t xml:space="preserve">o igual </w:t>
      </w:r>
      <w:r w:rsidRPr="00904705">
        <w:rPr>
          <w:color w:val="000000"/>
        </w:rPr>
        <w:t>a 100,000 habitantes.</w:t>
      </w:r>
      <w:r>
        <w:rPr>
          <w:color w:val="000000"/>
        </w:rPr>
        <w:t xml:space="preserve"> </w:t>
      </w:r>
    </w:p>
    <w:p w14:paraId="708FA7AF" w14:textId="77777777" w:rsidR="00EB72E0" w:rsidRDefault="00EB72E0" w:rsidP="00EB72E0">
      <w:pPr>
        <w:spacing w:after="0" w:line="240" w:lineRule="auto"/>
        <w:jc w:val="both"/>
        <w:rPr>
          <w:b/>
          <w:color w:val="000000"/>
        </w:rPr>
      </w:pPr>
    </w:p>
    <w:p w14:paraId="2504BB31" w14:textId="02D2EB0B" w:rsidR="00503113" w:rsidRPr="00904705" w:rsidRDefault="006E7EF1" w:rsidP="00EB72E0">
      <w:pPr>
        <w:spacing w:after="0" w:line="240" w:lineRule="auto"/>
        <w:jc w:val="both"/>
        <w:rPr>
          <w:color w:val="000000"/>
        </w:rPr>
      </w:pPr>
      <w:r>
        <w:rPr>
          <w:b/>
          <w:color w:val="000000"/>
        </w:rPr>
        <w:t>Municipios mediano</w:t>
      </w:r>
      <w:r w:rsidRPr="00904705">
        <w:rPr>
          <w:b/>
          <w:color w:val="000000"/>
        </w:rPr>
        <w:t>s para la toma de muestras en investigaciones cuantitativas:</w:t>
      </w:r>
      <w:r>
        <w:rPr>
          <w:color w:val="000000"/>
        </w:rPr>
        <w:t xml:space="preserve"> Son los </w:t>
      </w:r>
      <w:r w:rsidRPr="00904705">
        <w:rPr>
          <w:color w:val="000000"/>
        </w:rPr>
        <w:t xml:space="preserve">municipios con una población inferior a </w:t>
      </w:r>
      <w:r>
        <w:rPr>
          <w:color w:val="000000"/>
        </w:rPr>
        <w:t>100.000 habitantes y superior o igual a 50.000 habitantes.</w:t>
      </w:r>
    </w:p>
    <w:p w14:paraId="025788DC" w14:textId="77777777" w:rsidR="00EB72E0" w:rsidRDefault="00EB72E0" w:rsidP="00EB72E0">
      <w:pPr>
        <w:spacing w:after="0" w:line="240" w:lineRule="auto"/>
        <w:jc w:val="both"/>
        <w:rPr>
          <w:b/>
          <w:color w:val="000000"/>
        </w:rPr>
      </w:pPr>
    </w:p>
    <w:p w14:paraId="418E0418" w14:textId="40CFE380" w:rsidR="00503113" w:rsidRDefault="00503113" w:rsidP="00EB72E0">
      <w:pPr>
        <w:spacing w:after="0" w:line="240" w:lineRule="auto"/>
        <w:jc w:val="both"/>
        <w:rPr>
          <w:color w:val="000000"/>
        </w:rPr>
      </w:pPr>
      <w:r w:rsidRPr="00904705">
        <w:rPr>
          <w:b/>
          <w:color w:val="000000"/>
        </w:rPr>
        <w:t>Municipios pequeños para la toma de muestras en investigaciones cuantitativas:</w:t>
      </w:r>
      <w:r w:rsidR="006E7EF1">
        <w:rPr>
          <w:color w:val="000000"/>
        </w:rPr>
        <w:t xml:space="preserve"> Son los</w:t>
      </w:r>
      <w:r w:rsidRPr="00904705">
        <w:rPr>
          <w:color w:val="000000"/>
        </w:rPr>
        <w:t xml:space="preserve"> municipios con una población inferior a 50,000 habitantes.</w:t>
      </w:r>
    </w:p>
    <w:p w14:paraId="0D137361" w14:textId="77777777" w:rsidR="00EB72E0" w:rsidRDefault="00EB72E0" w:rsidP="00EB72E0">
      <w:pPr>
        <w:spacing w:after="0" w:line="240" w:lineRule="auto"/>
        <w:jc w:val="both"/>
        <w:rPr>
          <w:b/>
          <w:color w:val="000000"/>
        </w:rPr>
      </w:pPr>
    </w:p>
    <w:p w14:paraId="2C15A94C" w14:textId="149AAE0A" w:rsidR="00503113" w:rsidRDefault="00503113" w:rsidP="00EB72E0">
      <w:pPr>
        <w:spacing w:after="0" w:line="240" w:lineRule="auto"/>
        <w:jc w:val="both"/>
        <w:rPr>
          <w:color w:val="000000"/>
        </w:rPr>
      </w:pPr>
      <w:r w:rsidRPr="00904705">
        <w:rPr>
          <w:b/>
          <w:color w:val="000000"/>
        </w:rPr>
        <w:t xml:space="preserve">Margen de error de Diseño: </w:t>
      </w:r>
      <w:r w:rsidRPr="00904705">
        <w:rPr>
          <w:color w:val="000000"/>
        </w:rPr>
        <w:t>Margen de error utilizado para calcular el tamaño de la muestra. </w:t>
      </w:r>
    </w:p>
    <w:p w14:paraId="2B71FEA7" w14:textId="77777777" w:rsidR="00EB72E0" w:rsidRDefault="00EB72E0" w:rsidP="00EB72E0">
      <w:pPr>
        <w:spacing w:after="0" w:line="240" w:lineRule="auto"/>
        <w:jc w:val="both"/>
        <w:rPr>
          <w:b/>
          <w:color w:val="000000"/>
        </w:rPr>
      </w:pPr>
    </w:p>
    <w:p w14:paraId="3D9E7763" w14:textId="6754634A" w:rsidR="00503113" w:rsidRDefault="00503113" w:rsidP="00EB72E0">
      <w:pPr>
        <w:spacing w:after="0" w:line="240" w:lineRule="auto"/>
        <w:jc w:val="both"/>
        <w:rPr>
          <w:color w:val="000000"/>
        </w:rPr>
      </w:pPr>
      <w:r w:rsidRPr="00904705">
        <w:rPr>
          <w:b/>
          <w:color w:val="000000"/>
        </w:rPr>
        <w:t>Margen de error calculado para indicadores:</w:t>
      </w:r>
      <w:r w:rsidRPr="00904705">
        <w:rPr>
          <w:color w:val="000000"/>
        </w:rPr>
        <w:t xml:space="preserve"> Margen de error calculado individualmente para cada indicador a raíz de los datos recolectados.</w:t>
      </w:r>
    </w:p>
    <w:p w14:paraId="3ADC34B6" w14:textId="77777777" w:rsidR="00EB72E0" w:rsidRDefault="00EB72E0" w:rsidP="00EB72E0">
      <w:pPr>
        <w:spacing w:after="0" w:line="240" w:lineRule="auto"/>
        <w:jc w:val="both"/>
        <w:rPr>
          <w:b/>
          <w:color w:val="000000" w:themeColor="text1"/>
        </w:rPr>
      </w:pPr>
    </w:p>
    <w:p w14:paraId="688481CF" w14:textId="65D86D0B" w:rsidR="00503113" w:rsidRDefault="00503113" w:rsidP="00EB72E0">
      <w:pPr>
        <w:spacing w:after="0" w:line="240" w:lineRule="auto"/>
        <w:jc w:val="both"/>
        <w:rPr>
          <w:color w:val="000000" w:themeColor="text1"/>
        </w:rPr>
      </w:pPr>
      <w:r w:rsidRPr="00904705">
        <w:rPr>
          <w:b/>
          <w:color w:val="000000" w:themeColor="text1"/>
        </w:rPr>
        <w:t xml:space="preserve">Modelo de pronóstico: </w:t>
      </w:r>
      <w:r w:rsidRPr="00904705">
        <w:rPr>
          <w:color w:val="000000" w:themeColor="text1"/>
        </w:rPr>
        <w:t>Es un modelo estadístico o tipo de proyección estadística realizado sobre los datos de las encuestas o sondeos.</w:t>
      </w:r>
    </w:p>
    <w:p w14:paraId="705F125C" w14:textId="77777777" w:rsidR="00EB72E0" w:rsidRDefault="00EB72E0" w:rsidP="00EB72E0">
      <w:pPr>
        <w:spacing w:after="0" w:line="240" w:lineRule="auto"/>
        <w:jc w:val="both"/>
        <w:rPr>
          <w:b/>
          <w:color w:val="000000"/>
        </w:rPr>
      </w:pPr>
    </w:p>
    <w:p w14:paraId="1FFF9611" w14:textId="1E036C38" w:rsidR="00503113" w:rsidRDefault="00503113" w:rsidP="00EB72E0">
      <w:pPr>
        <w:spacing w:after="0" w:line="240" w:lineRule="auto"/>
        <w:jc w:val="both"/>
        <w:rPr>
          <w:color w:val="000000"/>
        </w:rPr>
      </w:pPr>
      <w:r w:rsidRPr="00904705">
        <w:rPr>
          <w:b/>
          <w:color w:val="000000"/>
        </w:rPr>
        <w:t xml:space="preserve">Artículo 4. De la Selección de la Muestra. </w:t>
      </w:r>
      <w:r w:rsidRPr="00904705">
        <w:rPr>
          <w:color w:val="000000"/>
        </w:rPr>
        <w:t xml:space="preserve">Toda encuesta electoral que sea publicada y divulgada en medios de comunicación debe garantizar representatividad a través de un método científico </w:t>
      </w:r>
      <w:r w:rsidR="00416636">
        <w:rPr>
          <w:color w:val="000000"/>
        </w:rPr>
        <w:t>dentro del diseño muestral, de la siguiente manera:</w:t>
      </w:r>
    </w:p>
    <w:p w14:paraId="74F2043E" w14:textId="77777777" w:rsidR="00EB72E0" w:rsidRDefault="00EB72E0" w:rsidP="00EB72E0">
      <w:pPr>
        <w:spacing w:after="0" w:line="240" w:lineRule="auto"/>
        <w:jc w:val="both"/>
        <w:rPr>
          <w:color w:val="000000"/>
        </w:rPr>
      </w:pPr>
    </w:p>
    <w:p w14:paraId="6E4C4326" w14:textId="5A291406" w:rsidR="00503113" w:rsidRPr="00904705" w:rsidRDefault="00416636" w:rsidP="00EB72E0">
      <w:pPr>
        <w:spacing w:after="0" w:line="240" w:lineRule="auto"/>
        <w:jc w:val="both"/>
        <w:rPr>
          <w:color w:val="000000"/>
        </w:rPr>
      </w:pPr>
      <w:r>
        <w:rPr>
          <w:color w:val="000000"/>
        </w:rPr>
        <w:t>En u</w:t>
      </w:r>
      <w:r w:rsidR="00503113" w:rsidRPr="00904705">
        <w:rPr>
          <w:color w:val="000000"/>
        </w:rPr>
        <w:t>na encuesta del nivel nacional</w:t>
      </w:r>
      <w:r>
        <w:rPr>
          <w:color w:val="000000"/>
        </w:rPr>
        <w:t xml:space="preserve">, se </w:t>
      </w:r>
      <w:r w:rsidR="00503113" w:rsidRPr="00904705">
        <w:rPr>
          <w:color w:val="000000"/>
        </w:rPr>
        <w:t>debe tener un margen de error de diseño</w:t>
      </w:r>
      <w:r>
        <w:rPr>
          <w:color w:val="000000"/>
        </w:rPr>
        <w:t xml:space="preserve">, </w:t>
      </w:r>
      <w:r w:rsidR="00503113" w:rsidRPr="00904705">
        <w:rPr>
          <w:color w:val="000000"/>
        </w:rPr>
        <w:t xml:space="preserve">calculado para cada indicador publicado de máximo tres por ciento (3%) y un nivel de confianza mínimo del noventa y cinco por ciento (95%) para las preguntas de opinión política, conocimiento, favorabilidad e intención de voto para personajes y/o candidatos con un fenómeno de ocurrencia menor al </w:t>
      </w:r>
      <w:r>
        <w:rPr>
          <w:color w:val="000000"/>
        </w:rPr>
        <w:t>cuarenta por ciento (</w:t>
      </w:r>
      <w:r w:rsidR="00503113" w:rsidRPr="00904705">
        <w:rPr>
          <w:color w:val="000000"/>
        </w:rPr>
        <w:t>40%</w:t>
      </w:r>
      <w:r>
        <w:rPr>
          <w:color w:val="000000"/>
        </w:rPr>
        <w:t>)</w:t>
      </w:r>
      <w:r w:rsidR="00503113" w:rsidRPr="00904705">
        <w:rPr>
          <w:color w:val="000000"/>
        </w:rPr>
        <w:t xml:space="preserve"> o mayor al </w:t>
      </w:r>
      <w:r>
        <w:rPr>
          <w:color w:val="000000"/>
        </w:rPr>
        <w:t>sesenta por ciento (</w:t>
      </w:r>
      <w:r w:rsidR="00503113" w:rsidRPr="00904705">
        <w:rPr>
          <w:color w:val="000000"/>
        </w:rPr>
        <w:t>60%</w:t>
      </w:r>
      <w:r>
        <w:rPr>
          <w:color w:val="000000"/>
        </w:rPr>
        <w:t>)</w:t>
      </w:r>
      <w:r w:rsidR="00503113" w:rsidRPr="00904705">
        <w:rPr>
          <w:color w:val="000000"/>
        </w:rPr>
        <w:t>.</w:t>
      </w:r>
    </w:p>
    <w:p w14:paraId="758D6E2C" w14:textId="77777777" w:rsidR="00EB72E0" w:rsidRDefault="00EB72E0" w:rsidP="00EB72E0">
      <w:pPr>
        <w:spacing w:after="0" w:line="240" w:lineRule="auto"/>
        <w:jc w:val="both"/>
        <w:rPr>
          <w:color w:val="000000"/>
        </w:rPr>
      </w:pPr>
    </w:p>
    <w:p w14:paraId="18B0051A" w14:textId="48015101" w:rsidR="00503113" w:rsidRDefault="00416636" w:rsidP="00EB72E0">
      <w:pPr>
        <w:spacing w:after="0" w:line="240" w:lineRule="auto"/>
        <w:jc w:val="both"/>
        <w:rPr>
          <w:color w:val="000000"/>
        </w:rPr>
      </w:pPr>
      <w:r>
        <w:rPr>
          <w:color w:val="000000"/>
        </w:rPr>
        <w:t>En u</w:t>
      </w:r>
      <w:r w:rsidR="00503113" w:rsidRPr="00904705">
        <w:rPr>
          <w:color w:val="000000"/>
        </w:rPr>
        <w:t xml:space="preserve">na encuesta de nivel Departamental, Distrital y/o municipal, </w:t>
      </w:r>
      <w:r>
        <w:rPr>
          <w:color w:val="000000"/>
        </w:rPr>
        <w:t xml:space="preserve">se </w:t>
      </w:r>
      <w:r w:rsidR="00503113" w:rsidRPr="00904705">
        <w:rPr>
          <w:color w:val="000000"/>
        </w:rPr>
        <w:t>debe tener un margen 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w:t>
      </w:r>
      <w:r>
        <w:rPr>
          <w:color w:val="000000"/>
        </w:rPr>
        <w:t>n fenómeno de ocurrencia menor al cuarenta por ciento (</w:t>
      </w:r>
      <w:r w:rsidR="00503113" w:rsidRPr="00904705">
        <w:rPr>
          <w:color w:val="000000"/>
        </w:rPr>
        <w:t>40%</w:t>
      </w:r>
      <w:r>
        <w:rPr>
          <w:color w:val="000000"/>
        </w:rPr>
        <w:t>)</w:t>
      </w:r>
      <w:r w:rsidR="00503113" w:rsidRPr="00904705">
        <w:rPr>
          <w:color w:val="000000"/>
        </w:rPr>
        <w:t xml:space="preserve"> o mayor a </w:t>
      </w:r>
      <w:r>
        <w:rPr>
          <w:color w:val="000000"/>
        </w:rPr>
        <w:t>sesenta por ciento (</w:t>
      </w:r>
      <w:r w:rsidR="00503113" w:rsidRPr="00904705">
        <w:rPr>
          <w:color w:val="000000"/>
        </w:rPr>
        <w:t>60%</w:t>
      </w:r>
      <w:r>
        <w:rPr>
          <w:color w:val="000000"/>
        </w:rPr>
        <w:t>)</w:t>
      </w:r>
      <w:r w:rsidR="00503113" w:rsidRPr="00904705">
        <w:rPr>
          <w:color w:val="000000"/>
        </w:rPr>
        <w:t>.</w:t>
      </w:r>
    </w:p>
    <w:p w14:paraId="6959C7CC" w14:textId="77777777" w:rsidR="009822A7" w:rsidRPr="00904705" w:rsidRDefault="009822A7" w:rsidP="009822A7">
      <w:pPr>
        <w:jc w:val="both"/>
        <w:rPr>
          <w:color w:val="000000"/>
        </w:rPr>
      </w:pPr>
      <w:r>
        <w:rPr>
          <w:color w:val="000000"/>
        </w:rPr>
        <w:lastRenderedPageBreak/>
        <w:t>Todas las personas que sean seleccionadas para la muestra deberán responder todas las preguntas que se formulen en la encuesta. No podrá haber preguntas que tengan una base de encuestados menor al universo de personas seleccionado para la medición total de la encuesta.</w:t>
      </w:r>
    </w:p>
    <w:p w14:paraId="7841CDAE" w14:textId="77777777" w:rsidR="00503113" w:rsidRDefault="00503113" w:rsidP="00503113">
      <w:pPr>
        <w:jc w:val="both"/>
        <w:rPr>
          <w:color w:val="000000"/>
        </w:rPr>
      </w:pPr>
      <w:r w:rsidRPr="00904705">
        <w:rPr>
          <w:color w:val="000000"/>
        </w:rPr>
        <w:t>Además, la distribución de la muestra deberá cumplir con los siguientes parámetros:</w:t>
      </w:r>
    </w:p>
    <w:p w14:paraId="34B3F7D4" w14:textId="77777777" w:rsidR="00503113" w:rsidRPr="00904705" w:rsidRDefault="00503113" w:rsidP="00503113">
      <w:pPr>
        <w:jc w:val="both"/>
        <w:rPr>
          <w:color w:val="000000"/>
        </w:rPr>
      </w:pPr>
      <w:r w:rsidRPr="00904705">
        <w:rPr>
          <w:color w:val="000000"/>
        </w:rPr>
        <w:t>a) Cuando se trate de encuestas sobre opinión política, mecanismos de participación ciudadana o procesos electorales de carácter nacional, la muestra deberá incluir a todos los municipios y distritos con población igual o superior a 800.000 habitantes de acuerdo a la proyección más actualizada del Departamento Administrativo Nacional de Estadística DANE. También incluirá el municipio o distrito con mayor población de cada región que no tenga municipios o distritos con población igual o superior a 800.000 habitantes, así como un subconjunto de municipios pequeños, medianos y grandes de todas las regiones del país.</w:t>
      </w:r>
    </w:p>
    <w:p w14:paraId="21BB5584" w14:textId="2D26BD0D" w:rsidR="00503113" w:rsidRPr="00904705" w:rsidRDefault="00503113" w:rsidP="00503113">
      <w:pPr>
        <w:jc w:val="both"/>
        <w:rPr>
          <w:color w:val="000000"/>
        </w:rPr>
      </w:pPr>
      <w:r w:rsidRPr="00904705">
        <w:rPr>
          <w:color w:val="000000"/>
        </w:rPr>
        <w:t>b) Cuando se trate de encuestas sobre opinión política, mecanismos de participación ciudadana o procesos electorales de carácter departamental, la muestra deberá incluir a la capital departamental y como mínimo el 20% de los municipios del respectivo Departamento.</w:t>
      </w:r>
    </w:p>
    <w:p w14:paraId="013B8903" w14:textId="77777777" w:rsidR="00503113" w:rsidRDefault="00503113" w:rsidP="00503113">
      <w:pPr>
        <w:jc w:val="both"/>
        <w:rPr>
          <w:color w:val="000000"/>
        </w:rPr>
      </w:pPr>
      <w:r w:rsidRPr="00904705">
        <w:rPr>
          <w:color w:val="000000"/>
        </w:rPr>
        <w:t>c) Cuando se trate de encuestas sobre opinión política, mecanismos de participación ciudadana o procesos electorales de nivel distrital o municipal, se deberá asegurar que la muestra incluya una representación adecuada de las subdivisiones administrativas, seleccionadas mediante un método probabilístico.</w:t>
      </w:r>
    </w:p>
    <w:p w14:paraId="37CEED7A" w14:textId="5738DE8E" w:rsidR="00503113" w:rsidRPr="00904705" w:rsidRDefault="00503113" w:rsidP="00503113">
      <w:pPr>
        <w:jc w:val="both"/>
        <w:rPr>
          <w:color w:val="000000"/>
        </w:rPr>
      </w:pPr>
      <w:r w:rsidRPr="00904705">
        <w:rPr>
          <w:b/>
          <w:color w:val="000000"/>
        </w:rPr>
        <w:t>Parágrafo</w:t>
      </w:r>
      <w:r w:rsidR="008F3193">
        <w:rPr>
          <w:b/>
          <w:color w:val="000000"/>
        </w:rPr>
        <w:t xml:space="preserve"> 1</w:t>
      </w:r>
      <w:r w:rsidRPr="00904705">
        <w:rPr>
          <w:b/>
          <w:color w:val="000000"/>
        </w:rPr>
        <w:t>:</w:t>
      </w:r>
      <w:r w:rsidRPr="00904705">
        <w:rPr>
          <w:color w:val="000000"/>
        </w:rPr>
        <w:t xml:space="preserve"> Para efectos de lo previsto en este artículo se entenderá por regiones las descritas en el artículo 45 de la Ley 2056 de 2020.</w:t>
      </w:r>
    </w:p>
    <w:p w14:paraId="18794427" w14:textId="1FE6D15B" w:rsidR="00503113" w:rsidRDefault="00CB2646" w:rsidP="00503113">
      <w:pPr>
        <w:jc w:val="both"/>
        <w:rPr>
          <w:color w:val="000000"/>
        </w:rPr>
      </w:pPr>
      <w:r w:rsidRPr="00904705">
        <w:rPr>
          <w:b/>
          <w:color w:val="000000"/>
        </w:rPr>
        <w:t>Parágrafo</w:t>
      </w:r>
      <w:r w:rsidR="008F3193">
        <w:rPr>
          <w:b/>
          <w:color w:val="000000"/>
        </w:rPr>
        <w:t xml:space="preserve"> 2</w:t>
      </w:r>
      <w:r w:rsidRPr="00904705">
        <w:rPr>
          <w:b/>
          <w:color w:val="000000"/>
        </w:rPr>
        <w:t>:</w:t>
      </w:r>
      <w:r w:rsidRPr="00904705">
        <w:rPr>
          <w:color w:val="000000"/>
        </w:rPr>
        <w:t xml:space="preserve"> </w:t>
      </w:r>
      <w:r w:rsidR="00416636">
        <w:rPr>
          <w:color w:val="000000"/>
        </w:rPr>
        <w:t xml:space="preserve">Cuando existan </w:t>
      </w:r>
      <w:r w:rsidR="009822A7">
        <w:rPr>
          <w:color w:val="000000"/>
        </w:rPr>
        <w:t xml:space="preserve">limitaciones </w:t>
      </w:r>
      <w:r w:rsidR="00416636">
        <w:rPr>
          <w:color w:val="000000"/>
        </w:rPr>
        <w:t xml:space="preserve">de orden público que impidan el cumplimiento estricto de los criterios poblacionales exigidos en éste artículo, las firmas encuestadoras podrán solicitar al Consejo Nacional Electoral una excepción motivada, con la debida justificación metodológica. </w:t>
      </w:r>
    </w:p>
    <w:p w14:paraId="79727573" w14:textId="77777777" w:rsidR="00CB2646" w:rsidRPr="00904705" w:rsidRDefault="00CB2646" w:rsidP="00503113">
      <w:pPr>
        <w:jc w:val="both"/>
        <w:rPr>
          <w:color w:val="000000"/>
        </w:rPr>
      </w:pPr>
    </w:p>
    <w:p w14:paraId="7F38560B" w14:textId="77777777" w:rsidR="00503113" w:rsidRDefault="00503113" w:rsidP="00503113">
      <w:pPr>
        <w:jc w:val="both"/>
        <w:rPr>
          <w:color w:val="000000"/>
        </w:rPr>
      </w:pPr>
      <w:r w:rsidRPr="00904705">
        <w:rPr>
          <w:b/>
          <w:color w:val="000000"/>
        </w:rPr>
        <w:t xml:space="preserve">Artículo 5. Encuestas de conocimiento, favorabilidad política, opinión o intención del voto. </w:t>
      </w:r>
      <w:r w:rsidRPr="00904705">
        <w:rPr>
          <w:color w:val="000000"/>
        </w:rPr>
        <w:t>Cuando se indague por el conocimiento, favorabilidad, opinión o intención de voto sobre políticos o personajes públicos susceptibles de ser elegidos a un cargo uninominal de elección popular, se deberá incluir a candidatos que posean relevancia o notoriedad pública significativa, hayan participado en elecciones similares previas o tengan favorabilidad o reconocimiento manifiesto.</w:t>
      </w:r>
    </w:p>
    <w:p w14:paraId="415403CF" w14:textId="77777777" w:rsidR="00503113" w:rsidRPr="00904705" w:rsidRDefault="00503113" w:rsidP="00503113">
      <w:pPr>
        <w:jc w:val="both"/>
        <w:rPr>
          <w:color w:val="000000"/>
        </w:rPr>
      </w:pPr>
      <w:r w:rsidRPr="00904705">
        <w:rPr>
          <w:color w:val="000000" w:themeColor="text1"/>
        </w:rPr>
        <w:t xml:space="preserve">Las encuestas que incluyan preguntas relacionadas con intención de voto solo podrán realizarse a partir de los tres meses anteriores del primer día de inscripciones.  Una vez </w:t>
      </w:r>
      <w:r w:rsidRPr="00904705">
        <w:rPr>
          <w:color w:val="000000"/>
        </w:rPr>
        <w:t>haya finalizado el término para la inscripción a elecciones uninominales, las encuestas tendrán que incluir a todos los candidatos inscritos para la respectiva contienda electoral.</w:t>
      </w:r>
    </w:p>
    <w:p w14:paraId="440CD9F4" w14:textId="77777777" w:rsidR="00EB72E0" w:rsidRDefault="00EB72E0" w:rsidP="00503113">
      <w:pPr>
        <w:jc w:val="both"/>
        <w:rPr>
          <w:b/>
          <w:color w:val="000000"/>
        </w:rPr>
      </w:pPr>
    </w:p>
    <w:p w14:paraId="0A1D9CA1" w14:textId="14741315" w:rsidR="00503113" w:rsidRDefault="00503113" w:rsidP="00503113">
      <w:pPr>
        <w:jc w:val="both"/>
        <w:rPr>
          <w:color w:val="000000"/>
        </w:rPr>
      </w:pPr>
      <w:r w:rsidRPr="00904705">
        <w:rPr>
          <w:b/>
          <w:color w:val="000000"/>
        </w:rPr>
        <w:lastRenderedPageBreak/>
        <w:t xml:space="preserve">Artículo 6. Requisitos formales para la publicación de encuestas y sondeos. </w:t>
      </w:r>
      <w:r w:rsidRPr="00904705">
        <w:rPr>
          <w:color w:val="000000"/>
        </w:rPr>
        <w:t>Toda encuesta de opinión de carácter elect</w:t>
      </w:r>
      <w:r w:rsidR="00C6479D">
        <w:rPr>
          <w:color w:val="000000"/>
        </w:rPr>
        <w:t>oral al ser publicada o divulgad</w:t>
      </w:r>
      <w:r w:rsidR="009822A7">
        <w:rPr>
          <w:color w:val="000000"/>
        </w:rPr>
        <w:t>a</w:t>
      </w:r>
      <w:r w:rsidRPr="00904705">
        <w:rPr>
          <w:color w:val="000000"/>
        </w:rPr>
        <w:t xml:space="preserve"> tendrá que serlo en su totalidad y deberá indicar de manera clara y visible la siguiente información, a manera de ficha técnica:</w:t>
      </w:r>
    </w:p>
    <w:p w14:paraId="209D94EA"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La persona natural o jurídica que la realizó y quién la encomendó.</w:t>
      </w:r>
    </w:p>
    <w:p w14:paraId="58668BDB"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La fuente de su financiación.</w:t>
      </w:r>
    </w:p>
    <w:p w14:paraId="711028E5"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tipo, tamaño de la muestra y procedimiento utilizado para seleccionar las unidades muestrales.</w:t>
      </w:r>
    </w:p>
    <w:p w14:paraId="13FDDF51"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tema o temas concretos a los que se refiere.</w:t>
      </w:r>
    </w:p>
    <w:p w14:paraId="0D6CDF4D"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texto literal de la pregunta o preguntas formuladas, y el orden en el que se realizaron.</w:t>
      </w:r>
    </w:p>
    <w:p w14:paraId="24BF3B48"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Los candidatos, personas o instituciones por quienes se indagó.</w:t>
      </w:r>
    </w:p>
    <w:p w14:paraId="5751F65F"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espacio geográfico y la fecha o período de tiempo en que se realizó.</w:t>
      </w:r>
    </w:p>
    <w:p w14:paraId="7E6583B5"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margen de error de diseño.</w:t>
      </w:r>
    </w:p>
    <w:p w14:paraId="177AB7DC"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Tipo de estudio con arreglo a las categorías descritas en la presente Ley.</w:t>
      </w:r>
    </w:p>
    <w:p w14:paraId="59EC2533"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El propósito del estudio.</w:t>
      </w:r>
    </w:p>
    <w:p w14:paraId="535BEACB"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Universo representado.</w:t>
      </w:r>
    </w:p>
    <w:p w14:paraId="084B62B6"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Método de recolección de datos.</w:t>
      </w:r>
    </w:p>
    <w:p w14:paraId="4F16A859"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Nivel de confiabilidad.</w:t>
      </w:r>
    </w:p>
    <w:p w14:paraId="33453C12"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Nombres y apellidos de los profesionales en estadística responsables de la encuesta.</w:t>
      </w:r>
    </w:p>
    <w:p w14:paraId="021E3AEF" w14:textId="77777777" w:rsidR="00503113" w:rsidRPr="00904705" w:rsidRDefault="00503113" w:rsidP="00503113">
      <w:pPr>
        <w:numPr>
          <w:ilvl w:val="0"/>
          <w:numId w:val="36"/>
        </w:numPr>
        <w:pBdr>
          <w:top w:val="nil"/>
          <w:left w:val="nil"/>
          <w:bottom w:val="nil"/>
          <w:right w:val="nil"/>
          <w:between w:val="nil"/>
        </w:pBdr>
        <w:spacing w:after="0" w:line="240" w:lineRule="auto"/>
        <w:ind w:left="1080"/>
        <w:jc w:val="both"/>
        <w:rPr>
          <w:color w:val="000000"/>
        </w:rPr>
      </w:pPr>
      <w:r w:rsidRPr="00904705">
        <w:rPr>
          <w:color w:val="000000"/>
        </w:rPr>
        <w:t>Declaración en la que se informe si hubo algún tipo de contraprestación por responder la encuesta. En caso de que se hubiere otorgado contraprestación, se deberá declarar la naturaleza y el valor de dicha contraprestación.</w:t>
      </w:r>
    </w:p>
    <w:p w14:paraId="5CC7A5BC" w14:textId="77777777" w:rsidR="00503113" w:rsidRPr="00904705" w:rsidRDefault="00503113" w:rsidP="00503113">
      <w:pPr>
        <w:pBdr>
          <w:top w:val="nil"/>
          <w:left w:val="nil"/>
          <w:bottom w:val="nil"/>
          <w:right w:val="nil"/>
          <w:between w:val="nil"/>
        </w:pBdr>
        <w:ind w:left="1080"/>
        <w:jc w:val="both"/>
        <w:rPr>
          <w:color w:val="000000"/>
        </w:rPr>
      </w:pPr>
    </w:p>
    <w:p w14:paraId="5B9DCC45" w14:textId="7FA8204A" w:rsidR="00503113" w:rsidRDefault="00503113" w:rsidP="00503113">
      <w:pPr>
        <w:jc w:val="both"/>
        <w:rPr>
          <w:color w:val="000000"/>
        </w:rPr>
      </w:pPr>
      <w:r w:rsidRPr="00904705">
        <w:rPr>
          <w:b/>
          <w:color w:val="000000"/>
        </w:rPr>
        <w:t>Parágrafo 1.</w:t>
      </w:r>
      <w:r w:rsidRPr="00904705">
        <w:rPr>
          <w:color w:val="000000"/>
        </w:rPr>
        <w:t xml:space="preserve"> Adicionalmente</w:t>
      </w:r>
      <w:r w:rsidR="00BC0E6E">
        <w:rPr>
          <w:color w:val="000000"/>
        </w:rPr>
        <w:t>,</w:t>
      </w:r>
      <w:r w:rsidRPr="00904705">
        <w:rPr>
          <w:color w:val="000000"/>
        </w:rPr>
        <w:t xml:space="preserve"> se deberá publicar</w:t>
      </w:r>
      <w:r w:rsidR="00BC0E6E">
        <w:rPr>
          <w:color w:val="000000"/>
        </w:rPr>
        <w:t>,</w:t>
      </w:r>
      <w:r w:rsidRPr="00904705">
        <w:rPr>
          <w:color w:val="000000"/>
        </w:rPr>
        <w:t xml:space="preserve"> en anexos técnicos abiertos y accesibles al público</w:t>
      </w:r>
      <w:r w:rsidR="00BC0E6E">
        <w:rPr>
          <w:color w:val="000000"/>
        </w:rPr>
        <w:t>,</w:t>
      </w:r>
      <w:r w:rsidRPr="00904705">
        <w:rPr>
          <w:color w:val="000000"/>
        </w:rPr>
        <w:t xml:space="preserve"> el número efectivo de respuestas a cada una de las preguntas en forma individual, el margen de error calculado de cada indicador y los microdatos</w:t>
      </w:r>
      <w:r w:rsidR="00BC0E6E">
        <w:rPr>
          <w:color w:val="000000"/>
        </w:rPr>
        <w:t>,</w:t>
      </w:r>
      <w:r w:rsidRPr="00904705">
        <w:rPr>
          <w:color w:val="000000"/>
        </w:rPr>
        <w:t xml:space="preserve"> anonimizando información personal y las variables necesarias para replicar los cálculos publicados.</w:t>
      </w:r>
    </w:p>
    <w:p w14:paraId="07962270" w14:textId="76E28DE0" w:rsidR="00503113" w:rsidRDefault="00503113" w:rsidP="00503113">
      <w:pPr>
        <w:jc w:val="both"/>
        <w:rPr>
          <w:color w:val="000000"/>
        </w:rPr>
      </w:pPr>
      <w:r w:rsidRPr="00904705">
        <w:rPr>
          <w:b/>
          <w:color w:val="000000"/>
        </w:rPr>
        <w:t xml:space="preserve">Parágrafo 2. </w:t>
      </w:r>
      <w:r w:rsidRPr="00904705">
        <w:rPr>
          <w:color w:val="000000"/>
        </w:rPr>
        <w:t>Las encuestas que no cumplan con los requisitos establecidos en este artículo no pod</w:t>
      </w:r>
      <w:r w:rsidR="0041411A">
        <w:rPr>
          <w:color w:val="000000"/>
        </w:rPr>
        <w:t>rán ser publicadas ni divulgadas</w:t>
      </w:r>
      <w:r w:rsidRPr="00904705">
        <w:rPr>
          <w:color w:val="000000"/>
        </w:rPr>
        <w:t>.</w:t>
      </w:r>
    </w:p>
    <w:p w14:paraId="7FBB9476" w14:textId="165FE942" w:rsidR="00503113" w:rsidRDefault="00503113" w:rsidP="00503113">
      <w:pPr>
        <w:jc w:val="both"/>
        <w:rPr>
          <w:color w:val="000000"/>
        </w:rPr>
      </w:pPr>
      <w:r w:rsidRPr="00904705">
        <w:rPr>
          <w:b/>
          <w:color w:val="000000"/>
        </w:rPr>
        <w:t xml:space="preserve">Parágrafo 3. </w:t>
      </w:r>
      <w:r w:rsidRPr="00904705">
        <w:rPr>
          <w:color w:val="000000"/>
        </w:rPr>
        <w:t>En su revisión posterior, el Consejo Nacional Electoral ejercerá vigilancia sobre el cumplimiento de la presente ley y especialmente sobre la forma en que se realizan las preguntas, no inducción a las respuestas, la adecuada selección de la muestra, la veracidad de los datos reportados, publicados y las buenas prácticas en todas las etapas de la encuesta hasta su p</w:t>
      </w:r>
      <w:r w:rsidR="00C6479D">
        <w:rPr>
          <w:color w:val="000000"/>
        </w:rPr>
        <w:t>ublicación y divulgaci</w:t>
      </w:r>
      <w:r w:rsidRPr="00904705">
        <w:rPr>
          <w:color w:val="000000"/>
        </w:rPr>
        <w:t>ón.</w:t>
      </w:r>
      <w:r w:rsidR="00BC0E6E">
        <w:rPr>
          <w:color w:val="000000"/>
        </w:rPr>
        <w:t xml:space="preserve"> En caso de detectarse prácticas que induzcan respuestas, manipulen la muestra o alteren los datos publicados, se dará inicio al procedimiento sancionatorio correspondiente, conforme a lo previsto en esta ley y en el régimen de procedimiento administrativo vigente. </w:t>
      </w:r>
    </w:p>
    <w:p w14:paraId="3386E4A3" w14:textId="77777777" w:rsidR="00503113" w:rsidRDefault="00503113" w:rsidP="00503113">
      <w:pPr>
        <w:jc w:val="both"/>
        <w:rPr>
          <w:color w:val="000000"/>
        </w:rPr>
      </w:pPr>
      <w:r w:rsidRPr="00904705">
        <w:rPr>
          <w:b/>
          <w:color w:val="000000"/>
        </w:rPr>
        <w:t>Parágrafo 4.</w:t>
      </w:r>
      <w:r w:rsidRPr="00904705">
        <w:rPr>
          <w:color w:val="000000"/>
        </w:rPr>
        <w:t xml:space="preserve"> En toda publicación deberá incluirse, de manera resaltada y claramente visible, que todas las encuestas se ven afectadas por márgenes de error.</w:t>
      </w:r>
    </w:p>
    <w:p w14:paraId="22EB8D1A" w14:textId="77777777" w:rsidR="00503113" w:rsidRDefault="00503113" w:rsidP="00503113">
      <w:pPr>
        <w:jc w:val="both"/>
        <w:rPr>
          <w:color w:val="000000"/>
        </w:rPr>
      </w:pPr>
      <w:r w:rsidRPr="00904705">
        <w:rPr>
          <w:b/>
          <w:color w:val="000000"/>
        </w:rPr>
        <w:t xml:space="preserve">Parágrafo 5. </w:t>
      </w:r>
      <w:r w:rsidRPr="00904705">
        <w:rPr>
          <w:color w:val="000000"/>
        </w:rPr>
        <w:t xml:space="preserve">A partir de la entrada en vigencia de esta ley el Consejo Nacional Electoral deberá mantener actualizado y accesible en su página web un repositorio con la información señalada en </w:t>
      </w:r>
      <w:r w:rsidRPr="00904705">
        <w:rPr>
          <w:color w:val="000000"/>
        </w:rPr>
        <w:lastRenderedPageBreak/>
        <w:t>este artículo de cada encuesta publicada, la información deberá ser pública en el repositorio en un plazo no superior a cinco (5) días desde su reporte por parte de la respectiva firma encuestadora.</w:t>
      </w:r>
    </w:p>
    <w:p w14:paraId="6F78525F" w14:textId="77777777" w:rsidR="00503113" w:rsidRDefault="00503113" w:rsidP="00503113">
      <w:pPr>
        <w:jc w:val="both"/>
        <w:rPr>
          <w:color w:val="000000"/>
        </w:rPr>
      </w:pPr>
      <w:r w:rsidRPr="00904705">
        <w:rPr>
          <w:b/>
          <w:color w:val="000000"/>
        </w:rPr>
        <w:t>Parágrafo 6</w:t>
      </w:r>
      <w:r w:rsidRPr="00904705">
        <w:rPr>
          <w:color w:val="000000"/>
        </w:rPr>
        <w:t>. Los sondeos deberán ser acompañados en su publicación y divulgación de lo siguiente: La persona natural o jurídica que la realizó y la encomendó, la fuente de su financiación, el tipo, tamaño de la muestra y procedimiento utilizado para seleccionar las unidades muestrales, el texto literal de la pregunta o preguntas formuladas, y el orden en el que se realizaron, las personas o instituciones por quienes se indagó, el espacio geográfico y la fecha o período de tiempo en que se realizó, el propósito del estudio y el universo representado.</w:t>
      </w:r>
    </w:p>
    <w:p w14:paraId="75FD09A2" w14:textId="77777777" w:rsidR="00503113" w:rsidRPr="00904705" w:rsidRDefault="00503113" w:rsidP="00503113">
      <w:pPr>
        <w:jc w:val="both"/>
        <w:rPr>
          <w:color w:val="000000"/>
        </w:rPr>
      </w:pPr>
    </w:p>
    <w:p w14:paraId="07678743" w14:textId="77777777" w:rsidR="00503113" w:rsidRPr="00904705" w:rsidRDefault="00503113" w:rsidP="00503113">
      <w:pPr>
        <w:jc w:val="both"/>
        <w:rPr>
          <w:color w:val="000000" w:themeColor="text1"/>
        </w:rPr>
      </w:pPr>
      <w:r w:rsidRPr="00904705">
        <w:rPr>
          <w:b/>
          <w:color w:val="000000"/>
        </w:rPr>
        <w:t xml:space="preserve">Artículo 7. </w:t>
      </w:r>
      <w:r w:rsidRPr="00904705">
        <w:rPr>
          <w:b/>
          <w:color w:val="000000" w:themeColor="text1"/>
        </w:rPr>
        <w:t xml:space="preserve">Comisión Técnica y de Vigilancia de Encuestas sobre Opinión Política y Electoral. </w:t>
      </w:r>
      <w:r w:rsidRPr="00904705">
        <w:rPr>
          <w:color w:val="000000" w:themeColor="text1"/>
        </w:rPr>
        <w:t>Créase la Comisión Técnica de Vigilancia de Encuestas sobre Opinión Política y Electoral, la cual es un cuerpo técnico del Consejo Nacional Electoral, que tendrá a cargo las siguientes funciones:</w:t>
      </w:r>
    </w:p>
    <w:p w14:paraId="4B6240BC" w14:textId="77777777" w:rsidR="00503113" w:rsidRPr="00904705" w:rsidRDefault="00503113" w:rsidP="00503113">
      <w:pPr>
        <w:jc w:val="both"/>
        <w:rPr>
          <w:color w:val="000000" w:themeColor="text1"/>
        </w:rPr>
      </w:pPr>
      <w:r w:rsidRPr="00904705">
        <w:rPr>
          <w:color w:val="000000" w:themeColor="text1"/>
        </w:rPr>
        <w:t>1. Estudiar, evaluar, auditar y conceptuar sobre el cumplimiento de las disposiciones que regulan la elaboración y publicación de encuestas.</w:t>
      </w:r>
    </w:p>
    <w:p w14:paraId="135A44CA" w14:textId="77777777" w:rsidR="00503113" w:rsidRPr="00904705" w:rsidRDefault="00503113" w:rsidP="00503113">
      <w:pPr>
        <w:jc w:val="both"/>
        <w:rPr>
          <w:color w:val="000000" w:themeColor="text1"/>
        </w:rPr>
      </w:pPr>
      <w:r w:rsidRPr="00904705">
        <w:rPr>
          <w:color w:val="000000" w:themeColor="text1"/>
        </w:rPr>
        <w:t>2.  Asesorar al Consejo Nacional Electoral en la regulación, vigilancia y seguimiento a las encuestas y estudios de opinión política.</w:t>
      </w:r>
    </w:p>
    <w:p w14:paraId="090DC0B8" w14:textId="77777777" w:rsidR="00503113" w:rsidRDefault="00503113" w:rsidP="00503113">
      <w:pPr>
        <w:jc w:val="both"/>
        <w:rPr>
          <w:color w:val="000000" w:themeColor="text1"/>
        </w:rPr>
      </w:pPr>
      <w:r w:rsidRPr="00904705">
        <w:rPr>
          <w:color w:val="000000" w:themeColor="text1"/>
        </w:rPr>
        <w:t>3.   Expedir su propio reglamento y designar coordinador.</w:t>
      </w:r>
    </w:p>
    <w:p w14:paraId="26419CF6" w14:textId="77777777" w:rsidR="00503113" w:rsidRPr="00904705" w:rsidRDefault="00503113" w:rsidP="00503113">
      <w:pPr>
        <w:jc w:val="both"/>
        <w:rPr>
          <w:color w:val="000000" w:themeColor="text1"/>
        </w:rPr>
      </w:pPr>
      <w:r w:rsidRPr="00904705">
        <w:rPr>
          <w:b/>
          <w:color w:val="000000" w:themeColor="text1"/>
        </w:rPr>
        <w:t xml:space="preserve">Parágrafo transitorio. </w:t>
      </w:r>
      <w:r w:rsidRPr="00904705">
        <w:rPr>
          <w:color w:val="000000" w:themeColor="text1"/>
        </w:rPr>
        <w:t xml:space="preserve">Mientras la Comisión expide su reglamento se regirá por las siguientes reglas: i) la secretaría técnica será ejercida por la Secretaría General del Consejo Nacional Electoral, ii) el quórum para realizar sesiones o tomar decisiones se cumplirá con la presencia física o virtual de no menos de 3 comisionados, iii) La sesiones serán convocadas con al menos siete (7) días de anticipación a la fecha de la reunión iv) el coordinador de la comisión asignará entre uno (1) y dos (2) comisionados para elaborar la ponencia de las auditorías, informes o conceptos que se requieran haciendo uso de un reparto aleatorio y equitativo v) la aprobación de conceptos, informes y auditorías así como las demás decisiones de la comisión requieren del voto afirmativo de al menos 3 miembros de la comisión. </w:t>
      </w:r>
    </w:p>
    <w:p w14:paraId="3E2F3F17" w14:textId="77777777" w:rsidR="00503113" w:rsidRPr="00904705" w:rsidRDefault="00503113" w:rsidP="00503113">
      <w:pPr>
        <w:jc w:val="both"/>
        <w:rPr>
          <w:b/>
          <w:color w:val="000000"/>
        </w:rPr>
      </w:pPr>
    </w:p>
    <w:p w14:paraId="35943843" w14:textId="01B111E4" w:rsidR="00503113" w:rsidRDefault="00503113" w:rsidP="00503113">
      <w:pPr>
        <w:jc w:val="both"/>
        <w:rPr>
          <w:color w:val="000000"/>
        </w:rPr>
      </w:pPr>
      <w:r w:rsidRPr="00904705">
        <w:rPr>
          <w:b/>
          <w:color w:val="000000"/>
        </w:rPr>
        <w:t>Artículo 8. Conformación de la Comisión Técnica y de Vigilan</w:t>
      </w:r>
      <w:r w:rsidR="00C6479D">
        <w:rPr>
          <w:b/>
          <w:color w:val="000000"/>
        </w:rPr>
        <w:t>cia de Encuestas sobre Opinión P</w:t>
      </w:r>
      <w:r w:rsidRPr="00904705">
        <w:rPr>
          <w:b/>
          <w:color w:val="000000"/>
        </w:rPr>
        <w:t xml:space="preserve">olítica y Electoral. </w:t>
      </w:r>
      <w:r w:rsidRPr="00904705">
        <w:rPr>
          <w:color w:val="000000"/>
        </w:rPr>
        <w:t xml:space="preserve">La Comisión estará integrada por cinco (5) miembros con título profesional reconocido en Colombia, que hayan realizado estudios de pregrado, especialización, maestría y/o doctorado en estadística y que cuenten con experiencia profesional demostrable de al menos </w:t>
      </w:r>
      <w:r w:rsidR="00767AA4">
        <w:rPr>
          <w:color w:val="000000"/>
        </w:rPr>
        <w:t xml:space="preserve">tres (3) </w:t>
      </w:r>
      <w:r w:rsidRPr="00904705">
        <w:rPr>
          <w:color w:val="000000"/>
        </w:rPr>
        <w:t>años relacionada con encuestas por muestreo probabilístico.</w:t>
      </w:r>
      <w:r w:rsidR="00106939">
        <w:rPr>
          <w:color w:val="000000"/>
        </w:rPr>
        <w:t xml:space="preserve"> El periodo de cada consejero será de cuatro (4) años.</w:t>
      </w:r>
    </w:p>
    <w:p w14:paraId="1D9B91E8" w14:textId="3A1E5CD0" w:rsidR="00503113" w:rsidRDefault="00503113" w:rsidP="00503113">
      <w:pPr>
        <w:jc w:val="both"/>
        <w:rPr>
          <w:color w:val="000000"/>
        </w:rPr>
      </w:pPr>
      <w:r w:rsidRPr="00904705">
        <w:rPr>
          <w:color w:val="000000"/>
        </w:rPr>
        <w:t xml:space="preserve">Los miembros serán elegidos por el Consejo Nacional Electoral a partir de una lista de postulados presentada por los decanos o directores de departamento de universidades que ofrezcan programas de pregrado, especialización, maestría y/o doctorado en estadística, acreditados en alta calidad por el Ministerio de Educación Nacional. Cada programa acreditado podrá postular hasta tres </w:t>
      </w:r>
      <w:r w:rsidRPr="00904705">
        <w:rPr>
          <w:color w:val="000000"/>
        </w:rPr>
        <w:lastRenderedPageBreak/>
        <w:t>can</w:t>
      </w:r>
      <w:r w:rsidR="00767AA4">
        <w:rPr>
          <w:color w:val="000000"/>
        </w:rPr>
        <w:t>didatos. E</w:t>
      </w:r>
      <w:r w:rsidRPr="00904705">
        <w:rPr>
          <w:color w:val="000000"/>
        </w:rPr>
        <w:t>n caso de renuncia, inhabilidad, fallecimiento u otra circunstancia que genere una vacante en la comisión, el reemplazo será seleccionado de la lista de postulados.</w:t>
      </w:r>
    </w:p>
    <w:p w14:paraId="7439201C" w14:textId="70F1EEE6" w:rsidR="00503113" w:rsidRPr="00904705" w:rsidRDefault="00767AA4" w:rsidP="00503113">
      <w:pPr>
        <w:jc w:val="both"/>
        <w:rPr>
          <w:color w:val="000000"/>
        </w:rPr>
      </w:pPr>
      <w:r>
        <w:rPr>
          <w:color w:val="000000"/>
        </w:rPr>
        <w:t>El proceso de elección de los miembros de la Comisión será público y deberá permitir la veeduría ciudadana. El CNE publicará la hoja de vida de los candidatos y permitirá comentarios ciudadanos antes de su designación.</w:t>
      </w:r>
    </w:p>
    <w:p w14:paraId="4E91C02B" w14:textId="77777777" w:rsidR="00503113" w:rsidRPr="00904705" w:rsidRDefault="00503113" w:rsidP="00503113">
      <w:pPr>
        <w:jc w:val="both"/>
        <w:rPr>
          <w:color w:val="000000"/>
        </w:rPr>
      </w:pPr>
      <w:r w:rsidRPr="00904705">
        <w:rPr>
          <w:b/>
          <w:color w:val="000000"/>
        </w:rPr>
        <w:t xml:space="preserve">Parágrafo 1. </w:t>
      </w:r>
      <w:r w:rsidRPr="00904705">
        <w:rPr>
          <w:color w:val="000000"/>
        </w:rPr>
        <w:t>Inhabilidades e incompatibilidades. No podrán ser miembros de la Comisión:</w:t>
      </w:r>
    </w:p>
    <w:p w14:paraId="4885FDF9" w14:textId="77777777" w:rsidR="00503113" w:rsidRPr="00904705" w:rsidRDefault="00503113" w:rsidP="00503113">
      <w:pPr>
        <w:spacing w:before="240"/>
        <w:jc w:val="both"/>
        <w:rPr>
          <w:color w:val="000000"/>
        </w:rPr>
      </w:pPr>
      <w:r w:rsidRPr="00904705">
        <w:rPr>
          <w:color w:val="000000"/>
        </w:rPr>
        <w:t>a. Quienes hayan sido sancionados por las conductas previstas en la presente Ley.</w:t>
      </w:r>
    </w:p>
    <w:p w14:paraId="576D16D1" w14:textId="77777777" w:rsidR="00503113" w:rsidRPr="00904705" w:rsidRDefault="00503113" w:rsidP="00503113">
      <w:pPr>
        <w:spacing w:before="240"/>
        <w:jc w:val="both"/>
        <w:rPr>
          <w:color w:val="000000"/>
        </w:rPr>
      </w:pPr>
      <w:r w:rsidRPr="00904705">
        <w:rPr>
          <w:color w:val="000000"/>
        </w:rPr>
        <w:t>b. Quienes sean afiliados o hayan tenido vínculos contractuales o laborales en los últimos tres (3) años con partidos, movimientos o campañas políticas.</w:t>
      </w:r>
    </w:p>
    <w:p w14:paraId="0F113635" w14:textId="77777777" w:rsidR="00503113" w:rsidRPr="00904705" w:rsidRDefault="00503113" w:rsidP="00503113">
      <w:pPr>
        <w:spacing w:before="240"/>
        <w:jc w:val="both"/>
        <w:rPr>
          <w:color w:val="000000"/>
        </w:rPr>
      </w:pPr>
      <w:r w:rsidRPr="00904705">
        <w:rPr>
          <w:color w:val="000000"/>
        </w:rPr>
        <w:t>c. Quienes hayan tenido vínculos laborales o contractuales, en los últimos dos (2) años, con personas naturales o jurídicas dedicadas a realizar encuestas o investigaciones políticas cuantitativas o cualitativas.</w:t>
      </w:r>
    </w:p>
    <w:p w14:paraId="22594069" w14:textId="31829954" w:rsidR="00503113" w:rsidRDefault="00503113" w:rsidP="00503113">
      <w:pPr>
        <w:spacing w:before="240"/>
        <w:jc w:val="both"/>
        <w:rPr>
          <w:color w:val="000000"/>
        </w:rPr>
      </w:pPr>
      <w:r w:rsidRPr="00904705">
        <w:rPr>
          <w:color w:val="000000"/>
        </w:rPr>
        <w:t>d. Quienes tengan vínculo por matrimonio, unión permanente o parientes hasta el cuarto grado de consanguinidad, segundo de afinidad o primero civil con: candidatos; directi</w:t>
      </w:r>
      <w:r w:rsidR="006153FB">
        <w:rPr>
          <w:color w:val="000000"/>
        </w:rPr>
        <w:t>vos de partidos, movimientos y </w:t>
      </w:r>
      <w:r w:rsidRPr="00904705">
        <w:rPr>
          <w:color w:val="000000"/>
        </w:rPr>
        <w:t>campañas políticas; socios, miembros de junta directiva o trabajadores de confianza y manejo vinculados a personas naturales o jurídicas registradas como encuestadoras políticas.</w:t>
      </w:r>
    </w:p>
    <w:p w14:paraId="70746B20" w14:textId="77777777" w:rsidR="00503113" w:rsidRDefault="00503113" w:rsidP="00503113">
      <w:pPr>
        <w:jc w:val="both"/>
        <w:rPr>
          <w:color w:val="000000"/>
        </w:rPr>
      </w:pPr>
      <w:r w:rsidRPr="00904705">
        <w:rPr>
          <w:b/>
          <w:color w:val="000000"/>
        </w:rPr>
        <w:t xml:space="preserve">Parágrafo 2. </w:t>
      </w:r>
      <w:r w:rsidRPr="00904705">
        <w:rPr>
          <w:color w:val="000000"/>
        </w:rPr>
        <w:t>Los honorarios de los miembros de La Comisión serán pagados mensualmente de acuerdo a la tabla vigente de honorarios de la organización electoral.</w:t>
      </w:r>
    </w:p>
    <w:p w14:paraId="28FE2F40" w14:textId="77777777" w:rsidR="00503113" w:rsidRDefault="00503113" w:rsidP="00503113">
      <w:pPr>
        <w:jc w:val="both"/>
        <w:rPr>
          <w:color w:val="000000"/>
        </w:rPr>
      </w:pPr>
      <w:r w:rsidRPr="00904705">
        <w:rPr>
          <w:b/>
          <w:color w:val="000000"/>
        </w:rPr>
        <w:t>Parágrafo 3.</w:t>
      </w:r>
      <w:r w:rsidRPr="00904705">
        <w:rPr>
          <w:color w:val="000000"/>
        </w:rPr>
        <w:t xml:space="preserve"> En temporada electoral el Consejo Nacional Electoral podrá vincular a supernumerarios para asistir la tarea de la Comisión de acuerdo con los requerimientos solicitados por ella.</w:t>
      </w:r>
    </w:p>
    <w:p w14:paraId="2B5B108B" w14:textId="77777777" w:rsidR="00503113" w:rsidRPr="00904705" w:rsidRDefault="00503113" w:rsidP="00503113">
      <w:pPr>
        <w:jc w:val="both"/>
        <w:rPr>
          <w:color w:val="000000" w:themeColor="text1"/>
        </w:rPr>
      </w:pPr>
      <w:r w:rsidRPr="00904705">
        <w:rPr>
          <w:b/>
          <w:color w:val="000000" w:themeColor="text1"/>
        </w:rPr>
        <w:t xml:space="preserve">Parágrafo transitorio.  </w:t>
      </w:r>
      <w:r w:rsidRPr="00904705">
        <w:rPr>
          <w:color w:val="000000" w:themeColor="text1"/>
        </w:rPr>
        <w:t>Para la conformación inicial de la Comisión el Consejo Nacional Electoral solicitará a las instituciones de educación superior señaladas en este artículo los listados de candidatos en un plazo de diez (10) días desde la entrada en vigencia de la presente ley, a su vez deberá elegir a los miembros de la comisión en el plazo de dos (2) meses desde la entrada vigencia de la presente ley.</w:t>
      </w:r>
    </w:p>
    <w:p w14:paraId="5F967BB6" w14:textId="77777777" w:rsidR="00503113" w:rsidRPr="00904705" w:rsidRDefault="00503113" w:rsidP="00503113">
      <w:pPr>
        <w:jc w:val="both"/>
        <w:rPr>
          <w:b/>
          <w:color w:val="000000"/>
        </w:rPr>
      </w:pPr>
    </w:p>
    <w:p w14:paraId="2B14DF71" w14:textId="77777777" w:rsidR="00503113" w:rsidRDefault="00503113" w:rsidP="00503113">
      <w:pPr>
        <w:jc w:val="both"/>
        <w:rPr>
          <w:color w:val="000000"/>
        </w:rPr>
      </w:pPr>
      <w:r w:rsidRPr="00904705">
        <w:rPr>
          <w:b/>
          <w:color w:val="000000"/>
        </w:rPr>
        <w:t xml:space="preserve">Artículo 9. De las firmas encuestadoras. </w:t>
      </w:r>
      <w:r w:rsidRPr="00904705">
        <w:rPr>
          <w:color w:val="000000"/>
        </w:rPr>
        <w:t>Solamente podrán realizar encuestas de carácter electoral con ánimo de publicación, las firmas encuestadoras previamente registradas ante el Consejo Nacional Electoral.</w:t>
      </w:r>
    </w:p>
    <w:p w14:paraId="7C43EC2E" w14:textId="3D3EEC37" w:rsidR="00503113" w:rsidRPr="00904705" w:rsidRDefault="00767AA4" w:rsidP="00503113">
      <w:pPr>
        <w:jc w:val="both"/>
        <w:rPr>
          <w:color w:val="000000"/>
        </w:rPr>
      </w:pPr>
      <w:r>
        <w:rPr>
          <w:color w:val="000000"/>
        </w:rPr>
        <w:t>Se prohíbe la publicación y divulgaci</w:t>
      </w:r>
      <w:r w:rsidR="00503113" w:rsidRPr="00904705">
        <w:rPr>
          <w:color w:val="000000"/>
        </w:rPr>
        <w:t>ón en medios masivos de comunicación</w:t>
      </w:r>
      <w:r w:rsidR="00503113" w:rsidRPr="00904705">
        <w:rPr>
          <w:color w:val="000000" w:themeColor="text1"/>
        </w:rPr>
        <w:t xml:space="preserve">, incluidas redes sociales, de encuestas y sondeos falsos, que incumplan las disposiciones establecidas </w:t>
      </w:r>
      <w:r w:rsidR="00503113" w:rsidRPr="00904705">
        <w:rPr>
          <w:color w:val="000000"/>
        </w:rPr>
        <w:t>en la presente ley, o utilicen emblemas de empresas encuestadoras registradas sin su autorización.</w:t>
      </w:r>
    </w:p>
    <w:p w14:paraId="54C89AFE" w14:textId="6977E4EE" w:rsidR="00503113" w:rsidRDefault="00767AA4" w:rsidP="00503113">
      <w:pPr>
        <w:jc w:val="both"/>
        <w:rPr>
          <w:color w:val="000000"/>
        </w:rPr>
      </w:pPr>
      <w:r>
        <w:rPr>
          <w:color w:val="000000"/>
        </w:rPr>
        <w:t>El incumplimiento de lo aquí dispuesto dará lugar a la imposición de las sanciones contempladas en esta ley, sin perjuicio de las acciones legales adicionales a que haya lugar.</w:t>
      </w:r>
      <w:r w:rsidR="00503113" w:rsidRPr="00904705">
        <w:rPr>
          <w:color w:val="000000"/>
        </w:rPr>
        <w:t> </w:t>
      </w:r>
    </w:p>
    <w:p w14:paraId="6C27064C" w14:textId="77777777" w:rsidR="00767AA4" w:rsidRPr="00904705" w:rsidRDefault="00767AA4" w:rsidP="00503113">
      <w:pPr>
        <w:jc w:val="both"/>
        <w:rPr>
          <w:color w:val="000000"/>
        </w:rPr>
      </w:pPr>
    </w:p>
    <w:p w14:paraId="2EEEECE6" w14:textId="77777777" w:rsidR="00503113" w:rsidRPr="00904705" w:rsidRDefault="00503113" w:rsidP="00503113">
      <w:pPr>
        <w:jc w:val="both"/>
        <w:rPr>
          <w:color w:val="000000"/>
        </w:rPr>
      </w:pPr>
      <w:r w:rsidRPr="00904705">
        <w:rPr>
          <w:b/>
          <w:color w:val="000000"/>
        </w:rPr>
        <w:t>Artículo 10. Del registro.</w:t>
      </w:r>
      <w:r w:rsidRPr="00904705">
        <w:rPr>
          <w:color w:val="000000"/>
        </w:rPr>
        <w:t xml:space="preserve"> Para la inscripción en el Registro Nacional de Firmas Encuestadoras, se deberá aportar la siguiente información:</w:t>
      </w:r>
    </w:p>
    <w:p w14:paraId="1F02F93E" w14:textId="77777777" w:rsidR="00503113" w:rsidRPr="00904705" w:rsidRDefault="00503113" w:rsidP="00503113">
      <w:pPr>
        <w:spacing w:before="240"/>
        <w:jc w:val="both"/>
        <w:rPr>
          <w:color w:val="000000"/>
        </w:rPr>
      </w:pPr>
      <w:r w:rsidRPr="00904705">
        <w:rPr>
          <w:color w:val="000000"/>
        </w:rPr>
        <w:t xml:space="preserve">1. </w:t>
      </w:r>
      <w:r w:rsidRPr="006153FB">
        <w:rPr>
          <w:b/>
          <w:color w:val="000000"/>
        </w:rPr>
        <w:t>  Acreditación de experiencia en materia de realización de encuestas.</w:t>
      </w:r>
      <w:r w:rsidRPr="00904705">
        <w:rPr>
          <w:color w:val="000000"/>
        </w:rPr>
        <w:t xml:space="preserve"> Para ello, se aportarán los contratos cuyo objeto sea la realización de estudios de mercado y encuestas de opinión pública que hayan sido legalmente ejecutados con personas naturales o jurídicas en los cinco (5) años anteriores a la presentación de la solicitud de inscripción en el registro. En caso de que las partes hayan convenido cláusulas o acuerdos de confidencialidad, el Consejo Nacional Electoral (CNE) garantizará la reserva de la información sobre el objeto del contrato.</w:t>
      </w:r>
    </w:p>
    <w:p w14:paraId="50207027" w14:textId="77777777" w:rsidR="00503113" w:rsidRDefault="00503113" w:rsidP="00503113">
      <w:pPr>
        <w:spacing w:before="240"/>
        <w:jc w:val="both"/>
        <w:rPr>
          <w:color w:val="000000"/>
        </w:rPr>
      </w:pPr>
      <w:r w:rsidRPr="00904705">
        <w:rPr>
          <w:color w:val="000000"/>
        </w:rPr>
        <w:t xml:space="preserve">2.  </w:t>
      </w:r>
      <w:r w:rsidRPr="006153FB">
        <w:rPr>
          <w:b/>
          <w:color w:val="000000"/>
        </w:rPr>
        <w:t>Constitución como sociedad cuyo objeto principal sea la realización de estudios de mercado y encuestas:</w:t>
      </w:r>
      <w:r w:rsidRPr="00904705">
        <w:rPr>
          <w:color w:val="000000"/>
        </w:rPr>
        <w:t xml:space="preserve"> al menos tres (3) años antes de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0C5392E6" w14:textId="5A5C89C4" w:rsidR="00503113" w:rsidRDefault="00503113" w:rsidP="00503113">
      <w:pPr>
        <w:jc w:val="both"/>
        <w:rPr>
          <w:color w:val="000000"/>
        </w:rPr>
      </w:pPr>
      <w:r w:rsidRPr="00904705">
        <w:rPr>
          <w:b/>
          <w:color w:val="000000"/>
        </w:rPr>
        <w:t>Parágrafo 1.</w:t>
      </w:r>
      <w:r w:rsidRPr="00904705">
        <w:rPr>
          <w:color w:val="000000"/>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 En caso de contradicción entre la norma técnica y lo previsto en esta ley prevalece la ley,</w:t>
      </w:r>
    </w:p>
    <w:p w14:paraId="4AAC7D8F" w14:textId="77777777" w:rsidR="00503113" w:rsidRDefault="00503113" w:rsidP="00503113">
      <w:pPr>
        <w:jc w:val="both"/>
        <w:rPr>
          <w:color w:val="000000"/>
        </w:rPr>
      </w:pPr>
      <w:r w:rsidRPr="00904705">
        <w:rPr>
          <w:b/>
          <w:color w:val="000000"/>
        </w:rPr>
        <w:t>Parágrafo 2.</w:t>
      </w:r>
      <w:r w:rsidRPr="00904705">
        <w:rPr>
          <w:color w:val="000000"/>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4BC2F154" w14:textId="77777777" w:rsidR="00503113" w:rsidRDefault="00503113" w:rsidP="00503113">
      <w:pPr>
        <w:jc w:val="both"/>
        <w:rPr>
          <w:color w:val="000000"/>
        </w:rPr>
      </w:pPr>
      <w:r w:rsidRPr="00904705">
        <w:rPr>
          <w:b/>
          <w:color w:val="000000"/>
        </w:rPr>
        <w:t>Parágrafo 3.</w:t>
      </w:r>
      <w:r w:rsidRPr="00904705">
        <w:rPr>
          <w:color w:val="000000"/>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709E219C" w14:textId="77777777" w:rsidR="00503113" w:rsidRDefault="00503113" w:rsidP="00503113">
      <w:pPr>
        <w:jc w:val="both"/>
        <w:rPr>
          <w:color w:val="000000"/>
        </w:rPr>
      </w:pPr>
      <w:r w:rsidRPr="00904705">
        <w:rPr>
          <w:b/>
          <w:color w:val="000000"/>
        </w:rPr>
        <w:t>Parágrafo 4.</w:t>
      </w:r>
      <w:r w:rsidRPr="00904705">
        <w:rPr>
          <w:color w:val="000000"/>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22A0E05F" w14:textId="77777777" w:rsidR="00503113" w:rsidRDefault="00503113" w:rsidP="00503113">
      <w:pPr>
        <w:jc w:val="both"/>
        <w:rPr>
          <w:color w:val="000000"/>
        </w:rPr>
      </w:pPr>
      <w:r w:rsidRPr="00904705">
        <w:rPr>
          <w:b/>
          <w:color w:val="000000"/>
        </w:rPr>
        <w:t>Parágrafo 5.</w:t>
      </w:r>
      <w:r w:rsidRPr="00904705">
        <w:rPr>
          <w:color w:val="000000"/>
        </w:rPr>
        <w:t xml:space="preserve"> La nacionalidad o país de domicilio de las</w:t>
      </w:r>
      <w:r w:rsidRPr="00904705">
        <w:rPr>
          <w:b/>
          <w:color w:val="000000"/>
        </w:rPr>
        <w:t xml:space="preserve"> </w:t>
      </w:r>
      <w:r w:rsidRPr="00904705">
        <w:rPr>
          <w:color w:val="000000"/>
        </w:rPr>
        <w:t>personas jurídicas que deban registrarse en el Registro Nacional de Firmas Encuestadoras no las exime de la obligación de registrarse y de cumplir los requisitos legales para la elaboración, publicación y divulgación de encuestas.</w:t>
      </w:r>
    </w:p>
    <w:p w14:paraId="0C6CC8D3" w14:textId="77777777" w:rsidR="00503113" w:rsidRPr="00904705" w:rsidRDefault="00503113" w:rsidP="00503113">
      <w:pPr>
        <w:jc w:val="both"/>
        <w:rPr>
          <w:color w:val="000000"/>
        </w:rPr>
      </w:pPr>
      <w:r w:rsidRPr="00904705">
        <w:rPr>
          <w:b/>
          <w:color w:val="000000"/>
        </w:rPr>
        <w:t>Parágrafo Transitorio.</w:t>
      </w:r>
      <w:r w:rsidRPr="00904705">
        <w:rPr>
          <w:color w:val="000000"/>
        </w:rPr>
        <w:t xml:space="preserve"> Las personas naturales que puedan acreditar que su actividad principal ha sido la realización de estudios de mercado y encuestas de carácter político y electoral, tendrán un </w:t>
      </w:r>
      <w:r w:rsidRPr="00904705">
        <w:rPr>
          <w:color w:val="000000"/>
        </w:rPr>
        <w:lastRenderedPageBreak/>
        <w:t>plazo de un año (1) año contado a partir de la entrada en vigencia de la presente Ley para constituirse como personas jurídicas y solicitar su inscripción en el Registro Nacional de Firmas Encuestadoras.</w:t>
      </w:r>
    </w:p>
    <w:p w14:paraId="553AEEC0" w14:textId="77777777" w:rsidR="00503113" w:rsidRPr="00904705" w:rsidRDefault="00503113" w:rsidP="00503113">
      <w:pPr>
        <w:jc w:val="both"/>
        <w:rPr>
          <w:color w:val="000000"/>
        </w:rPr>
      </w:pPr>
      <w:r w:rsidRPr="00904705">
        <w:rPr>
          <w:color w:val="000000"/>
        </w:rPr>
        <w:t>Podrán acreditar el cumplimiento de lo previsto en la presente Ley con los soportes que den cuenta de la realización como personas naturales de estudios de mercado y encuestas de carácter político y electoral como actividad principal, por lo menos en los dos (2) años anteriores a la entrada en vigencia de la presente Ley.</w:t>
      </w:r>
    </w:p>
    <w:p w14:paraId="50E60EFF" w14:textId="77777777" w:rsidR="00503113" w:rsidRPr="00904705" w:rsidRDefault="00503113" w:rsidP="00503113">
      <w:pPr>
        <w:jc w:val="both"/>
        <w:rPr>
          <w:color w:val="000000"/>
        </w:rPr>
      </w:pPr>
    </w:p>
    <w:p w14:paraId="24DA1EE9" w14:textId="77777777" w:rsidR="00503113" w:rsidRPr="00904705" w:rsidRDefault="00503113" w:rsidP="00503113">
      <w:pPr>
        <w:jc w:val="both"/>
        <w:rPr>
          <w:color w:val="000000"/>
        </w:rPr>
      </w:pPr>
      <w:r w:rsidRPr="00904705">
        <w:rPr>
          <w:b/>
          <w:color w:val="000000"/>
        </w:rPr>
        <w:t>Artículo 11. Responsabilidad de las firmas encuestadoras.</w:t>
      </w:r>
      <w:r w:rsidRPr="00904705">
        <w:rPr>
          <w:color w:val="000000"/>
        </w:rPr>
        <w:t xml:space="preserve"> Las firmas encuestadoras deberán cumplir con las leyes de la estadística. Si no lo hicieren, responderán civil y penalmente por sus actos cuando corresponda.</w:t>
      </w:r>
    </w:p>
    <w:p w14:paraId="5EE0950D" w14:textId="77777777" w:rsidR="00503113" w:rsidRDefault="00503113" w:rsidP="00503113">
      <w:pPr>
        <w:jc w:val="both"/>
        <w:rPr>
          <w:b/>
          <w:color w:val="000000"/>
        </w:rPr>
      </w:pPr>
    </w:p>
    <w:p w14:paraId="68C30DB4" w14:textId="5734E71E" w:rsidR="00503113" w:rsidRPr="00904705" w:rsidRDefault="00503113" w:rsidP="00503113">
      <w:pPr>
        <w:jc w:val="both"/>
        <w:rPr>
          <w:color w:val="000000"/>
        </w:rPr>
      </w:pPr>
      <w:r w:rsidRPr="00904705">
        <w:rPr>
          <w:b/>
          <w:color w:val="000000"/>
        </w:rPr>
        <w:t>Artículo 12. Auditoría y trazabilidad de los datos.</w:t>
      </w:r>
      <w:r w:rsidR="00041683">
        <w:rPr>
          <w:color w:val="000000"/>
        </w:rPr>
        <w:t xml:space="preserve"> Para garantizar que </w:t>
      </w:r>
      <w:r w:rsidRPr="00904705">
        <w:rPr>
          <w:color w:val="000000"/>
        </w:rPr>
        <w:t>se disponga de la información necesaria para la realización de auditorías, las firmas encuestadoras deberán entregar al Consejo Nacional Electoral de manera simultánea a la entrega de los productos terminados al cliente y guardar copia, por un lapso no inferior a dos (2) años, la siguiente información:</w:t>
      </w:r>
    </w:p>
    <w:p w14:paraId="15D5D5CA" w14:textId="77777777" w:rsidR="006153FB" w:rsidRDefault="00503113" w:rsidP="006153FB">
      <w:pPr>
        <w:spacing w:after="0" w:line="240" w:lineRule="auto"/>
        <w:jc w:val="both"/>
        <w:rPr>
          <w:color w:val="000000"/>
        </w:rPr>
      </w:pPr>
      <w:r w:rsidRPr="00904705">
        <w:rPr>
          <w:color w:val="000000"/>
        </w:rPr>
        <w:t>1. Lo señalado en el artículo 6;</w:t>
      </w:r>
    </w:p>
    <w:p w14:paraId="4026C666" w14:textId="2E5534C3" w:rsidR="00503113" w:rsidRPr="00904705" w:rsidRDefault="00503113" w:rsidP="006153FB">
      <w:pPr>
        <w:spacing w:after="0" w:line="240" w:lineRule="auto"/>
        <w:jc w:val="both"/>
        <w:rPr>
          <w:color w:val="000000"/>
        </w:rPr>
      </w:pPr>
      <w:r w:rsidRPr="00904705">
        <w:rPr>
          <w:color w:val="000000"/>
        </w:rPr>
        <w:t>2. Los cálculos y justificación del tamaño y selección de la muestra;</w:t>
      </w:r>
    </w:p>
    <w:p w14:paraId="2A961A90" w14:textId="77777777" w:rsidR="00503113" w:rsidRPr="00904705" w:rsidRDefault="00503113" w:rsidP="006153FB">
      <w:pPr>
        <w:spacing w:after="0" w:line="240" w:lineRule="auto"/>
        <w:jc w:val="both"/>
        <w:rPr>
          <w:color w:val="000000"/>
        </w:rPr>
      </w:pPr>
      <w:r w:rsidRPr="00904705">
        <w:rPr>
          <w:color w:val="000000"/>
        </w:rPr>
        <w:t>3. El código computacional usado para el procesamiento de los datos y el cálculo de los indicadores;</w:t>
      </w:r>
    </w:p>
    <w:p w14:paraId="5B85C22E" w14:textId="77777777" w:rsidR="00503113" w:rsidRPr="00904705" w:rsidRDefault="00503113" w:rsidP="006153FB">
      <w:pPr>
        <w:spacing w:after="0" w:line="240" w:lineRule="auto"/>
        <w:jc w:val="both"/>
        <w:rPr>
          <w:color w:val="000000"/>
        </w:rPr>
      </w:pPr>
      <w:r w:rsidRPr="00904705">
        <w:rPr>
          <w:color w:val="000000"/>
        </w:rPr>
        <w:t>4. Los registros primarios utilizados tales como cuestionarios diligenciados, ficheros de datos, grabaciones u otros similares;</w:t>
      </w:r>
    </w:p>
    <w:p w14:paraId="35773D92" w14:textId="77777777" w:rsidR="00503113" w:rsidRPr="00904705" w:rsidRDefault="00503113" w:rsidP="006153FB">
      <w:pPr>
        <w:spacing w:after="0" w:line="240" w:lineRule="auto"/>
        <w:jc w:val="both"/>
        <w:rPr>
          <w:color w:val="000000"/>
        </w:rPr>
      </w:pPr>
      <w:r w:rsidRPr="00904705">
        <w:rPr>
          <w:color w:val="000000"/>
        </w:rPr>
        <w:t>5. Los productos de la auditoría interna.</w:t>
      </w:r>
    </w:p>
    <w:p w14:paraId="3A81E23B" w14:textId="0D9BB149" w:rsidR="00503113" w:rsidRPr="00904705" w:rsidRDefault="00503113" w:rsidP="00503113">
      <w:pPr>
        <w:spacing w:before="240"/>
        <w:jc w:val="both"/>
        <w:rPr>
          <w:color w:val="000000"/>
        </w:rPr>
      </w:pPr>
      <w:r w:rsidRPr="00904705">
        <w:rPr>
          <w:color w:val="000000"/>
        </w:rPr>
        <w:t>Adicionalmente para el caso de encuestas en</w:t>
      </w:r>
      <w:r w:rsidR="00041683">
        <w:rPr>
          <w:color w:val="000000"/>
        </w:rPr>
        <w:t xml:space="preserve"> hogares se deberá entregar el </w:t>
      </w:r>
      <w:r w:rsidRPr="00904705">
        <w:rPr>
          <w:color w:val="000000"/>
        </w:rPr>
        <w:t>código computacional usado y que haga posible replicar la selección de las unidades muestrales. En encuestas telefónicas la descripción del procedimiento de selección de la muestra y números telefónicos.</w:t>
      </w:r>
    </w:p>
    <w:p w14:paraId="1ADF7BF1" w14:textId="4DF34828" w:rsidR="00503113" w:rsidRDefault="00503113" w:rsidP="00503113">
      <w:pPr>
        <w:jc w:val="both"/>
        <w:rPr>
          <w:color w:val="000000"/>
        </w:rPr>
      </w:pPr>
      <w:r w:rsidRPr="00904705">
        <w:rPr>
          <w:color w:val="000000"/>
        </w:rPr>
        <w:t> Todas las encuestas de opinión política nacionales serán auditadas por la comisión. Las encuestas territoriales serán auditadas aleatoriamente. El Consejo Nacional Electoral podrá contratar auditorías externas. </w:t>
      </w:r>
    </w:p>
    <w:p w14:paraId="19DC5E46" w14:textId="77777777" w:rsidR="00503113" w:rsidRPr="00904705" w:rsidRDefault="00503113" w:rsidP="00503113">
      <w:pPr>
        <w:jc w:val="both"/>
        <w:rPr>
          <w:color w:val="000000"/>
        </w:rPr>
      </w:pPr>
      <w:r w:rsidRPr="00904705">
        <w:rPr>
          <w:b/>
          <w:color w:val="000000"/>
        </w:rPr>
        <w:t>Parágrafo.</w:t>
      </w:r>
      <w:r w:rsidRPr="00904705">
        <w:rPr>
          <w:color w:val="000000"/>
        </w:rPr>
        <w:t xml:space="preserve">   A partir de la entrada en vigencia de la presente ley el CNE deberá conservar al menos dos copias en dispositivos independientes de la información aquí señalada en expedientes digitales.</w:t>
      </w:r>
    </w:p>
    <w:p w14:paraId="3619685D" w14:textId="77777777" w:rsidR="00503113" w:rsidRPr="00904705" w:rsidRDefault="00503113" w:rsidP="00503113">
      <w:pPr>
        <w:jc w:val="both"/>
        <w:rPr>
          <w:color w:val="000000"/>
        </w:rPr>
      </w:pPr>
      <w:r w:rsidRPr="00904705">
        <w:rPr>
          <w:b/>
          <w:color w:val="000000"/>
        </w:rPr>
        <w:t> </w:t>
      </w:r>
    </w:p>
    <w:p w14:paraId="53664BC0" w14:textId="369DE6FD" w:rsidR="00767AA4" w:rsidRDefault="00503113" w:rsidP="00767AA4">
      <w:pPr>
        <w:jc w:val="both"/>
        <w:rPr>
          <w:color w:val="000000"/>
        </w:rPr>
      </w:pPr>
      <w:r w:rsidRPr="00904705">
        <w:rPr>
          <w:b/>
          <w:color w:val="000000"/>
        </w:rPr>
        <w:t xml:space="preserve">Artículo 13. Prohibición de aportes. </w:t>
      </w:r>
      <w:r w:rsidRPr="00904705">
        <w:rPr>
          <w:color w:val="000000"/>
        </w:rPr>
        <w:t>Las firmas encuestadoras registradas ante</w:t>
      </w:r>
      <w:r w:rsidR="00EB72E0">
        <w:rPr>
          <w:color w:val="000000"/>
        </w:rPr>
        <w:t xml:space="preserve"> el Consejo Nacional Electoral </w:t>
      </w:r>
      <w:r w:rsidR="00767AA4">
        <w:rPr>
          <w:color w:val="000000"/>
        </w:rPr>
        <w:t xml:space="preserve">así como </w:t>
      </w:r>
      <w:r w:rsidRPr="00904705">
        <w:rPr>
          <w:color w:val="000000"/>
        </w:rPr>
        <w:t xml:space="preserve">sus representantes legales, </w:t>
      </w:r>
      <w:r w:rsidR="00767AA4">
        <w:rPr>
          <w:color w:val="000000"/>
        </w:rPr>
        <w:t xml:space="preserve">socios con una participación accionaria superior al treinta por ciento (30%), </w:t>
      </w:r>
      <w:r w:rsidRPr="00904705">
        <w:rPr>
          <w:color w:val="000000"/>
        </w:rPr>
        <w:t>miembros de junta directiva</w:t>
      </w:r>
      <w:r w:rsidR="00767AA4">
        <w:rPr>
          <w:color w:val="000000"/>
        </w:rPr>
        <w:t xml:space="preserve"> y demás administradores</w:t>
      </w:r>
      <w:r w:rsidRPr="00904705">
        <w:rPr>
          <w:color w:val="000000"/>
        </w:rPr>
        <w:t xml:space="preserve"> no podrán realizar apo</w:t>
      </w:r>
      <w:r w:rsidR="00767AA4">
        <w:rPr>
          <w:color w:val="000000"/>
        </w:rPr>
        <w:t>rtes a las campañas políticas. </w:t>
      </w:r>
    </w:p>
    <w:p w14:paraId="465BBB41" w14:textId="77777777" w:rsidR="00767AA4" w:rsidRDefault="00767AA4" w:rsidP="00767AA4">
      <w:pPr>
        <w:jc w:val="both"/>
        <w:rPr>
          <w:color w:val="000000"/>
        </w:rPr>
      </w:pPr>
    </w:p>
    <w:p w14:paraId="6E886446" w14:textId="23E0E2A0" w:rsidR="00767AA4" w:rsidRPr="00904705" w:rsidRDefault="00767AA4" w:rsidP="00767AA4">
      <w:pPr>
        <w:jc w:val="both"/>
        <w:rPr>
          <w:color w:val="000000"/>
        </w:rPr>
      </w:pPr>
      <w:r>
        <w:rPr>
          <w:b/>
          <w:color w:val="000000"/>
        </w:rPr>
        <w:lastRenderedPageBreak/>
        <w:t>Artículo 14</w:t>
      </w:r>
      <w:r w:rsidRPr="00904705">
        <w:rPr>
          <w:b/>
          <w:color w:val="000000"/>
        </w:rPr>
        <w:t xml:space="preserve">. </w:t>
      </w:r>
      <w:r>
        <w:rPr>
          <w:b/>
          <w:color w:val="000000"/>
        </w:rPr>
        <w:t xml:space="preserve">Actualización normativa. </w:t>
      </w:r>
      <w:r>
        <w:rPr>
          <w:color w:val="000000"/>
        </w:rPr>
        <w:t>El Consejo Nacional Electoral debe</w:t>
      </w:r>
      <w:r w:rsidR="00F751E3">
        <w:rPr>
          <w:color w:val="000000"/>
        </w:rPr>
        <w:t>r</w:t>
      </w:r>
      <w:r>
        <w:rPr>
          <w:color w:val="000000"/>
        </w:rPr>
        <w:t>á expedir una resolución actualizando las resoluciones 23 de 1996 y 50 de 1997 de conformidad a los contenidos de la presente ley en los dos meses siguientes a su entrada en vigencia.</w:t>
      </w:r>
      <w:r w:rsidRPr="00904705">
        <w:rPr>
          <w:color w:val="000000"/>
        </w:rPr>
        <w:t> </w:t>
      </w:r>
    </w:p>
    <w:p w14:paraId="19FEF403" w14:textId="77777777" w:rsidR="00A90CC5" w:rsidRDefault="00A90CC5" w:rsidP="00503113">
      <w:pPr>
        <w:jc w:val="both"/>
        <w:rPr>
          <w:b/>
          <w:color w:val="000000"/>
        </w:rPr>
      </w:pPr>
    </w:p>
    <w:p w14:paraId="11974903" w14:textId="2B774781" w:rsidR="00F751E3" w:rsidRPr="00F751E3" w:rsidRDefault="00F751E3" w:rsidP="00503113">
      <w:pPr>
        <w:jc w:val="both"/>
        <w:rPr>
          <w:color w:val="000000"/>
        </w:rPr>
      </w:pPr>
      <w:r>
        <w:rPr>
          <w:b/>
          <w:color w:val="000000"/>
        </w:rPr>
        <w:t>Artículo 15</w:t>
      </w:r>
      <w:r w:rsidRPr="00904705">
        <w:rPr>
          <w:b/>
          <w:color w:val="000000"/>
        </w:rPr>
        <w:t xml:space="preserve">. </w:t>
      </w:r>
      <w:r>
        <w:rPr>
          <w:b/>
          <w:color w:val="000000"/>
        </w:rPr>
        <w:t xml:space="preserve">Rectificación de la información errónea. </w:t>
      </w:r>
      <w:r w:rsidRPr="00F751E3">
        <w:rPr>
          <w:color w:val="000000"/>
        </w:rPr>
        <w:t>Los medios de comunicación que publiquen o difundan encuestas, sondeos y/o consultas abiertas con errores sustanciales o que violen lo dispuesto en la presente ley, deberán rectificar la información dentro de un plazo máximo de tres (3) días contados a partir del pronunciamiento del Consejo Nacional Electoral, mencionando el motivo de la rectificación, lo cual deberá realizarse a través de los mismos canales y espacios en los que fue difundida la información original. Lo anterior sin perjuicio de las sanciones a las que haya lugar.</w:t>
      </w:r>
    </w:p>
    <w:p w14:paraId="4211718E" w14:textId="021C4532" w:rsidR="00503113" w:rsidRPr="00F751E3" w:rsidRDefault="00F751E3" w:rsidP="00503113">
      <w:pPr>
        <w:jc w:val="both"/>
        <w:rPr>
          <w:color w:val="000000"/>
        </w:rPr>
      </w:pPr>
      <w:r w:rsidRPr="00F751E3">
        <w:rPr>
          <w:color w:val="000000"/>
        </w:rPr>
        <w:t xml:space="preserve"> </w:t>
      </w:r>
    </w:p>
    <w:p w14:paraId="7FF48903" w14:textId="3404C35F" w:rsidR="00503113" w:rsidRDefault="00F751E3" w:rsidP="00503113">
      <w:pPr>
        <w:jc w:val="both"/>
        <w:rPr>
          <w:color w:val="000000"/>
        </w:rPr>
      </w:pPr>
      <w:r>
        <w:rPr>
          <w:b/>
          <w:color w:val="000000" w:themeColor="text1"/>
        </w:rPr>
        <w:t>Artículo 16</w:t>
      </w:r>
      <w:r w:rsidR="00503113" w:rsidRPr="00904705">
        <w:rPr>
          <w:b/>
          <w:color w:val="000000" w:themeColor="text1"/>
        </w:rPr>
        <w:t xml:space="preserve">. </w:t>
      </w:r>
      <w:r w:rsidR="00503113" w:rsidRPr="00904705">
        <w:rPr>
          <w:b/>
          <w:color w:val="000000"/>
        </w:rPr>
        <w:t xml:space="preserve">Vigencia. </w:t>
      </w:r>
      <w:r w:rsidR="00503113" w:rsidRPr="00904705">
        <w:rPr>
          <w:color w:val="000000"/>
        </w:rPr>
        <w:t>La presente ley rige a partir de su promulgación y deroga todas las disposiciones que le sean contrarias, especialmente el artículo 10 de la resolución 23 de 1996 expedida por el Consejo Nacional Electoral.</w:t>
      </w:r>
    </w:p>
    <w:p w14:paraId="113854D3" w14:textId="33ABF8F6" w:rsidR="00397701" w:rsidRDefault="00397701" w:rsidP="00397701">
      <w:pPr>
        <w:spacing w:after="0" w:line="240" w:lineRule="auto"/>
        <w:jc w:val="center"/>
        <w:rPr>
          <w:rFonts w:ascii="Arial" w:eastAsia="Arial" w:hAnsi="Arial" w:cs="Arial"/>
          <w:b/>
          <w:bCs/>
          <w:sz w:val="24"/>
          <w:szCs w:val="24"/>
        </w:rPr>
      </w:pPr>
    </w:p>
    <w:p w14:paraId="3D3ADBC8" w14:textId="77777777" w:rsidR="008F4A66" w:rsidRDefault="008F4A66" w:rsidP="00A52EA9">
      <w:pPr>
        <w:jc w:val="both"/>
        <w:rPr>
          <w:rFonts w:asciiTheme="majorHAnsi" w:eastAsia="Century Gothic" w:hAnsiTheme="majorHAnsi" w:cstheme="majorHAnsi"/>
          <w:highlight w:val="white"/>
          <w:lang w:val="es-CO"/>
        </w:rPr>
      </w:pPr>
    </w:p>
    <w:p w14:paraId="7BC896BC" w14:textId="50CBF673" w:rsidR="00A52EA9" w:rsidRPr="00A90CC5" w:rsidRDefault="00A52EA9" w:rsidP="00A52EA9">
      <w:pPr>
        <w:jc w:val="both"/>
        <w:rPr>
          <w:rFonts w:asciiTheme="majorHAnsi" w:eastAsia="Century Gothic" w:hAnsiTheme="majorHAnsi" w:cstheme="majorHAnsi"/>
          <w:highlight w:val="white"/>
          <w:lang w:val="es-CO"/>
        </w:rPr>
      </w:pPr>
      <w:r w:rsidRPr="00A90CC5">
        <w:rPr>
          <w:rFonts w:asciiTheme="majorHAnsi" w:eastAsia="Century Gothic" w:hAnsiTheme="majorHAnsi" w:cstheme="majorHAnsi"/>
          <w:highlight w:val="white"/>
          <w:lang w:val="es-CO"/>
        </w:rPr>
        <w:t xml:space="preserve">En los anteriores términos fue aprobado </w:t>
      </w:r>
      <w:r w:rsidR="00397701" w:rsidRPr="00A90CC5">
        <w:rPr>
          <w:rFonts w:asciiTheme="majorHAnsi" w:eastAsia="Century Gothic" w:hAnsiTheme="majorHAnsi" w:cstheme="majorHAnsi"/>
          <w:highlight w:val="white"/>
          <w:lang w:val="es-CO"/>
        </w:rPr>
        <w:t>con modificaciones el presente P</w:t>
      </w:r>
      <w:r w:rsidR="00545EDC">
        <w:rPr>
          <w:rFonts w:asciiTheme="majorHAnsi" w:eastAsia="Century Gothic" w:hAnsiTheme="majorHAnsi" w:cstheme="majorHAnsi"/>
          <w:highlight w:val="white"/>
          <w:lang w:val="es-CO"/>
        </w:rPr>
        <w:t>royecto de Ley</w:t>
      </w:r>
      <w:r w:rsidR="00503113" w:rsidRPr="00A90CC5">
        <w:rPr>
          <w:rFonts w:asciiTheme="majorHAnsi" w:eastAsia="Century Gothic" w:hAnsiTheme="majorHAnsi" w:cstheme="majorHAnsi"/>
          <w:highlight w:val="white"/>
          <w:lang w:val="es-CO"/>
        </w:rPr>
        <w:t xml:space="preserve"> según consta en el A</w:t>
      </w:r>
      <w:r w:rsidRPr="00A90CC5">
        <w:rPr>
          <w:rFonts w:asciiTheme="majorHAnsi" w:eastAsia="Century Gothic" w:hAnsiTheme="majorHAnsi" w:cstheme="majorHAnsi"/>
          <w:highlight w:val="white"/>
          <w:lang w:val="es-CO"/>
        </w:rPr>
        <w:t xml:space="preserve">cta </w:t>
      </w:r>
      <w:r w:rsidR="006E2D89" w:rsidRPr="00A90CC5">
        <w:rPr>
          <w:rFonts w:asciiTheme="majorHAnsi" w:eastAsia="Century Gothic" w:hAnsiTheme="majorHAnsi" w:cstheme="majorHAnsi"/>
          <w:highlight w:val="white"/>
          <w:lang w:val="es-CO"/>
        </w:rPr>
        <w:t xml:space="preserve">No. </w:t>
      </w:r>
      <w:r w:rsidR="00503113" w:rsidRPr="00A90CC5">
        <w:rPr>
          <w:rFonts w:asciiTheme="majorHAnsi" w:eastAsia="Century Gothic" w:hAnsiTheme="majorHAnsi" w:cstheme="majorHAnsi"/>
          <w:highlight w:val="white"/>
          <w:lang w:val="es-CO"/>
        </w:rPr>
        <w:t>50</w:t>
      </w:r>
      <w:r w:rsidRPr="00A90CC5">
        <w:rPr>
          <w:rFonts w:asciiTheme="majorHAnsi" w:eastAsia="Century Gothic" w:hAnsiTheme="majorHAnsi" w:cstheme="majorHAnsi"/>
          <w:highlight w:val="white"/>
          <w:lang w:val="es-CO"/>
        </w:rPr>
        <w:t xml:space="preserve"> de sesión del </w:t>
      </w:r>
      <w:r w:rsidR="00503113" w:rsidRPr="00A90CC5">
        <w:rPr>
          <w:rFonts w:asciiTheme="majorHAnsi" w:eastAsia="Century Gothic" w:hAnsiTheme="majorHAnsi" w:cstheme="majorHAnsi"/>
          <w:highlight w:val="white"/>
          <w:lang w:val="es-CO"/>
        </w:rPr>
        <w:t>27</w:t>
      </w:r>
      <w:r w:rsidRPr="00A90CC5">
        <w:rPr>
          <w:rFonts w:asciiTheme="majorHAnsi" w:eastAsia="Century Gothic" w:hAnsiTheme="majorHAnsi" w:cstheme="majorHAnsi"/>
          <w:highlight w:val="white"/>
          <w:lang w:val="es-CO"/>
        </w:rPr>
        <w:t xml:space="preserve"> de </w:t>
      </w:r>
      <w:r w:rsidR="00503113" w:rsidRPr="00A90CC5">
        <w:rPr>
          <w:rFonts w:asciiTheme="majorHAnsi" w:eastAsia="Century Gothic" w:hAnsiTheme="majorHAnsi" w:cstheme="majorHAnsi"/>
          <w:highlight w:val="white"/>
          <w:lang w:val="es-CO"/>
        </w:rPr>
        <w:t>Mayo</w:t>
      </w:r>
      <w:r w:rsidRPr="00A90CC5">
        <w:rPr>
          <w:rFonts w:asciiTheme="majorHAnsi" w:eastAsia="Century Gothic" w:hAnsiTheme="majorHAnsi" w:cstheme="majorHAnsi"/>
          <w:highlight w:val="white"/>
          <w:lang w:val="es-CO"/>
        </w:rPr>
        <w:t xml:space="preserve"> de 202</w:t>
      </w:r>
      <w:r w:rsidR="00397701" w:rsidRPr="00A90CC5">
        <w:rPr>
          <w:rFonts w:asciiTheme="majorHAnsi" w:eastAsia="Century Gothic" w:hAnsiTheme="majorHAnsi" w:cstheme="majorHAnsi"/>
          <w:highlight w:val="white"/>
          <w:lang w:val="es-CO"/>
        </w:rPr>
        <w:t>5. A</w:t>
      </w:r>
      <w:r w:rsidRPr="00A90CC5">
        <w:rPr>
          <w:rFonts w:asciiTheme="majorHAnsi" w:eastAsia="Century Gothic" w:hAnsiTheme="majorHAnsi" w:cstheme="majorHAnsi"/>
          <w:highlight w:val="white"/>
          <w:lang w:val="es-CO"/>
        </w:rPr>
        <w:t>sí mismo fue anunciado entre otras fechas</w:t>
      </w:r>
      <w:r w:rsidR="00397701" w:rsidRPr="00A90CC5">
        <w:rPr>
          <w:rFonts w:asciiTheme="majorHAnsi" w:eastAsia="Century Gothic" w:hAnsiTheme="majorHAnsi" w:cstheme="majorHAnsi"/>
          <w:highlight w:val="white"/>
          <w:lang w:val="es-CO"/>
        </w:rPr>
        <w:t>,</w:t>
      </w:r>
      <w:r w:rsidRPr="00A90CC5">
        <w:rPr>
          <w:rFonts w:asciiTheme="majorHAnsi" w:eastAsia="Century Gothic" w:hAnsiTheme="majorHAnsi" w:cstheme="majorHAnsi"/>
          <w:highlight w:val="white"/>
          <w:lang w:val="es-CO"/>
        </w:rPr>
        <w:t xml:space="preserve"> el día </w:t>
      </w:r>
      <w:r w:rsidR="00105C0C" w:rsidRPr="00A90CC5">
        <w:rPr>
          <w:rFonts w:asciiTheme="majorHAnsi" w:eastAsia="Century Gothic" w:hAnsiTheme="majorHAnsi" w:cstheme="majorHAnsi"/>
          <w:highlight w:val="white"/>
          <w:lang w:val="es-CO"/>
        </w:rPr>
        <w:t>26</w:t>
      </w:r>
      <w:r w:rsidRPr="00A90CC5">
        <w:rPr>
          <w:rFonts w:asciiTheme="majorHAnsi" w:eastAsia="Century Gothic" w:hAnsiTheme="majorHAnsi" w:cstheme="majorHAnsi"/>
          <w:highlight w:val="white"/>
          <w:lang w:val="es-CO"/>
        </w:rPr>
        <w:t xml:space="preserve"> de </w:t>
      </w:r>
      <w:r w:rsidR="00105C0C" w:rsidRPr="00A90CC5">
        <w:rPr>
          <w:rFonts w:asciiTheme="majorHAnsi" w:eastAsia="Century Gothic" w:hAnsiTheme="majorHAnsi" w:cstheme="majorHAnsi"/>
          <w:highlight w:val="white"/>
          <w:lang w:val="es-CO"/>
        </w:rPr>
        <w:t>Mayo</w:t>
      </w:r>
      <w:r w:rsidR="00397701" w:rsidRPr="00A90CC5">
        <w:rPr>
          <w:rFonts w:asciiTheme="majorHAnsi" w:eastAsia="Century Gothic" w:hAnsiTheme="majorHAnsi" w:cstheme="majorHAnsi"/>
          <w:highlight w:val="white"/>
          <w:lang w:val="es-CO"/>
        </w:rPr>
        <w:t xml:space="preserve"> </w:t>
      </w:r>
      <w:r w:rsidRPr="00A90CC5">
        <w:rPr>
          <w:rFonts w:asciiTheme="majorHAnsi" w:eastAsia="Century Gothic" w:hAnsiTheme="majorHAnsi" w:cstheme="majorHAnsi"/>
          <w:highlight w:val="white"/>
          <w:lang w:val="es-CO"/>
        </w:rPr>
        <w:t>de 202</w:t>
      </w:r>
      <w:r w:rsidR="00397701" w:rsidRPr="00A90CC5">
        <w:rPr>
          <w:rFonts w:asciiTheme="majorHAnsi" w:eastAsia="Century Gothic" w:hAnsiTheme="majorHAnsi" w:cstheme="majorHAnsi"/>
          <w:highlight w:val="white"/>
          <w:lang w:val="es-CO"/>
        </w:rPr>
        <w:t>5</w:t>
      </w:r>
      <w:r w:rsidRPr="00A90CC5">
        <w:rPr>
          <w:rFonts w:asciiTheme="majorHAnsi" w:eastAsia="Century Gothic" w:hAnsiTheme="majorHAnsi" w:cstheme="majorHAnsi"/>
          <w:highlight w:val="white"/>
          <w:lang w:val="es-CO"/>
        </w:rPr>
        <w:t>, según consta e</w:t>
      </w:r>
      <w:bookmarkStart w:id="0" w:name="_GoBack"/>
      <w:bookmarkEnd w:id="0"/>
      <w:r w:rsidRPr="00A90CC5">
        <w:rPr>
          <w:rFonts w:asciiTheme="majorHAnsi" w:eastAsia="Century Gothic" w:hAnsiTheme="majorHAnsi" w:cstheme="majorHAnsi"/>
          <w:highlight w:val="white"/>
          <w:lang w:val="es-CO"/>
        </w:rPr>
        <w:t xml:space="preserve">n el acta </w:t>
      </w:r>
      <w:r w:rsidR="00105C0C" w:rsidRPr="00A90CC5">
        <w:rPr>
          <w:rFonts w:asciiTheme="majorHAnsi" w:eastAsia="Century Gothic" w:hAnsiTheme="majorHAnsi" w:cstheme="majorHAnsi"/>
          <w:highlight w:val="white"/>
          <w:lang w:val="es-CO"/>
        </w:rPr>
        <w:t>No. 49</w:t>
      </w:r>
      <w:r w:rsidRPr="00A90CC5">
        <w:rPr>
          <w:rFonts w:asciiTheme="majorHAnsi" w:eastAsia="Century Gothic" w:hAnsiTheme="majorHAnsi" w:cstheme="majorHAnsi"/>
          <w:highlight w:val="white"/>
          <w:lang w:val="es-CO"/>
        </w:rPr>
        <w:t xml:space="preserve"> de sesión de esa misma fecha.</w:t>
      </w:r>
    </w:p>
    <w:p w14:paraId="55DD556A" w14:textId="2722B4A7" w:rsidR="00A52EA9" w:rsidRPr="00A90CC5" w:rsidRDefault="00A52EA9" w:rsidP="00AD51EA">
      <w:pPr>
        <w:tabs>
          <w:tab w:val="left" w:pos="4820"/>
        </w:tabs>
        <w:spacing w:after="0" w:line="240" w:lineRule="auto"/>
        <w:rPr>
          <w:rFonts w:asciiTheme="majorHAnsi" w:eastAsia="Century Gothic" w:hAnsiTheme="majorHAnsi" w:cstheme="majorHAnsi"/>
          <w:highlight w:val="white"/>
          <w:lang w:val="es-CO"/>
        </w:rPr>
      </w:pPr>
    </w:p>
    <w:p w14:paraId="2C5BC538" w14:textId="57A9CA29" w:rsidR="00A52EA9" w:rsidRPr="00A90CC5" w:rsidRDefault="00A52EA9" w:rsidP="00AD51EA">
      <w:pPr>
        <w:tabs>
          <w:tab w:val="left" w:pos="4820"/>
        </w:tabs>
        <w:spacing w:after="0" w:line="240" w:lineRule="auto"/>
        <w:rPr>
          <w:rFonts w:asciiTheme="majorHAnsi" w:eastAsia="Century Gothic" w:hAnsiTheme="majorHAnsi" w:cstheme="majorHAnsi"/>
          <w:highlight w:val="white"/>
          <w:lang w:val="es-CO"/>
        </w:rPr>
      </w:pPr>
    </w:p>
    <w:p w14:paraId="27BD786A" w14:textId="77777777" w:rsidR="00A52EA9" w:rsidRPr="00A90CC5" w:rsidRDefault="00A52EA9" w:rsidP="00AD51EA">
      <w:pPr>
        <w:tabs>
          <w:tab w:val="left" w:pos="4820"/>
        </w:tabs>
        <w:spacing w:after="0" w:line="240" w:lineRule="auto"/>
        <w:rPr>
          <w:rFonts w:asciiTheme="majorHAnsi" w:eastAsia="Century Gothic" w:hAnsiTheme="majorHAnsi" w:cstheme="majorHAnsi"/>
          <w:highlight w:val="white"/>
          <w:lang w:val="es-CO"/>
        </w:rPr>
      </w:pPr>
    </w:p>
    <w:p w14:paraId="5C20DB22" w14:textId="3AF42FDB" w:rsidR="00961568" w:rsidRPr="00A90CC5" w:rsidRDefault="00397701" w:rsidP="008F4A66">
      <w:pPr>
        <w:tabs>
          <w:tab w:val="left" w:pos="4820"/>
        </w:tabs>
        <w:spacing w:after="0" w:line="240" w:lineRule="auto"/>
        <w:rPr>
          <w:rFonts w:asciiTheme="majorHAnsi" w:eastAsia="Century Gothic" w:hAnsiTheme="majorHAnsi" w:cstheme="majorHAnsi"/>
          <w:highlight w:val="white"/>
          <w:lang w:val="es-CO"/>
        </w:rPr>
      </w:pPr>
      <w:r w:rsidRPr="00A90CC5">
        <w:rPr>
          <w:rFonts w:asciiTheme="majorHAnsi" w:eastAsia="Century Gothic" w:hAnsiTheme="majorHAnsi" w:cstheme="majorHAnsi"/>
          <w:b/>
          <w:highlight w:val="white"/>
          <w:lang w:val="es-CO"/>
        </w:rPr>
        <w:t>JUAN SEBASTIÁN GÓMEZ GONZÁLES</w:t>
      </w:r>
      <w:r w:rsidR="00EC4CC5" w:rsidRPr="00A90CC5">
        <w:rPr>
          <w:rFonts w:asciiTheme="majorHAnsi" w:eastAsia="Century Gothic" w:hAnsiTheme="majorHAnsi" w:cstheme="majorHAnsi"/>
          <w:highlight w:val="white"/>
          <w:lang w:val="es-CO"/>
        </w:rPr>
        <w:t xml:space="preserve">    </w:t>
      </w:r>
      <w:r w:rsidRPr="00A90CC5">
        <w:rPr>
          <w:rFonts w:asciiTheme="majorHAnsi" w:eastAsia="Century Gothic" w:hAnsiTheme="majorHAnsi" w:cstheme="majorHAnsi"/>
          <w:highlight w:val="white"/>
          <w:lang w:val="es-CO"/>
        </w:rPr>
        <w:t xml:space="preserve">   </w:t>
      </w:r>
      <w:r w:rsidR="00F24E01" w:rsidRPr="00A90CC5">
        <w:rPr>
          <w:rFonts w:asciiTheme="majorHAnsi" w:eastAsia="Century Gothic" w:hAnsiTheme="majorHAnsi" w:cstheme="majorHAnsi"/>
          <w:highlight w:val="white"/>
          <w:lang w:val="es-CO"/>
        </w:rPr>
        <w:t xml:space="preserve">         </w:t>
      </w:r>
      <w:r w:rsidR="00A90CC5">
        <w:rPr>
          <w:rFonts w:asciiTheme="majorHAnsi" w:eastAsia="Century Gothic" w:hAnsiTheme="majorHAnsi" w:cstheme="majorHAnsi"/>
          <w:highlight w:val="white"/>
          <w:lang w:val="es-CO"/>
        </w:rPr>
        <w:tab/>
      </w:r>
      <w:r w:rsidR="00A90CC5">
        <w:rPr>
          <w:rFonts w:asciiTheme="majorHAnsi" w:eastAsia="Century Gothic" w:hAnsiTheme="majorHAnsi" w:cstheme="majorHAnsi"/>
          <w:highlight w:val="white"/>
          <w:lang w:val="es-CO"/>
        </w:rPr>
        <w:tab/>
      </w:r>
      <w:r w:rsidRPr="00A90CC5">
        <w:rPr>
          <w:rFonts w:asciiTheme="majorHAnsi" w:eastAsia="Century Gothic" w:hAnsiTheme="majorHAnsi" w:cstheme="majorHAnsi"/>
          <w:b/>
          <w:highlight w:val="white"/>
        </w:rPr>
        <w:t xml:space="preserve">ANA PAOLA GARCIA SOTO </w:t>
      </w:r>
      <w:r w:rsidR="00EC4CC5" w:rsidRPr="00A90CC5">
        <w:rPr>
          <w:rFonts w:asciiTheme="majorHAnsi" w:eastAsia="Century Gothic" w:hAnsiTheme="majorHAnsi" w:cstheme="majorHAnsi"/>
          <w:b/>
          <w:highlight w:val="white"/>
        </w:rPr>
        <w:t xml:space="preserve"> </w:t>
      </w:r>
      <w:r w:rsidR="006F017F" w:rsidRPr="00A90CC5">
        <w:rPr>
          <w:rFonts w:asciiTheme="majorHAnsi" w:eastAsia="Century Gothic" w:hAnsiTheme="majorHAnsi" w:cstheme="majorHAnsi"/>
          <w:b/>
          <w:highlight w:val="white"/>
        </w:rPr>
        <w:t xml:space="preserve">  </w:t>
      </w:r>
    </w:p>
    <w:p w14:paraId="07E48B50" w14:textId="609A8DFE" w:rsidR="00F7426C" w:rsidRPr="00A90CC5" w:rsidRDefault="00961568" w:rsidP="008F4A66">
      <w:pPr>
        <w:tabs>
          <w:tab w:val="left" w:pos="4820"/>
        </w:tabs>
        <w:spacing w:after="0" w:line="240" w:lineRule="auto"/>
        <w:rPr>
          <w:rFonts w:asciiTheme="majorHAnsi" w:eastAsia="Century Gothic" w:hAnsiTheme="majorHAnsi" w:cstheme="majorHAnsi"/>
          <w:highlight w:val="white"/>
          <w:lang w:val="es-CO"/>
        </w:rPr>
      </w:pPr>
      <w:r w:rsidRPr="00A90CC5">
        <w:rPr>
          <w:rFonts w:asciiTheme="majorHAnsi" w:eastAsia="Century Gothic" w:hAnsiTheme="majorHAnsi" w:cstheme="majorHAnsi"/>
          <w:highlight w:val="white"/>
          <w:lang w:val="es-CO"/>
        </w:rPr>
        <w:t xml:space="preserve">Ponente </w:t>
      </w:r>
      <w:r w:rsidR="00EC4CC5" w:rsidRPr="00A90CC5">
        <w:rPr>
          <w:rFonts w:asciiTheme="majorHAnsi" w:eastAsia="Century Gothic" w:hAnsiTheme="majorHAnsi" w:cstheme="majorHAnsi"/>
          <w:highlight w:val="white"/>
          <w:lang w:val="es-CO"/>
        </w:rPr>
        <w:t>Coordinador</w:t>
      </w:r>
      <w:r w:rsidR="00397701" w:rsidRPr="00A90CC5">
        <w:rPr>
          <w:rFonts w:asciiTheme="majorHAnsi" w:eastAsia="Century Gothic" w:hAnsiTheme="majorHAnsi" w:cstheme="majorHAnsi"/>
          <w:highlight w:val="white"/>
          <w:lang w:val="es-CO"/>
        </w:rPr>
        <w:t xml:space="preserve">  </w:t>
      </w:r>
      <w:r w:rsidR="00EC4CC5" w:rsidRPr="00A90CC5">
        <w:rPr>
          <w:rFonts w:asciiTheme="majorHAnsi" w:eastAsia="Century Gothic" w:hAnsiTheme="majorHAnsi" w:cstheme="majorHAnsi"/>
          <w:highlight w:val="white"/>
          <w:lang w:val="es-CO"/>
        </w:rPr>
        <w:t xml:space="preserve">                  </w:t>
      </w:r>
      <w:r w:rsidR="00397701" w:rsidRPr="00A90CC5">
        <w:rPr>
          <w:rFonts w:asciiTheme="majorHAnsi" w:eastAsia="Century Gothic" w:hAnsiTheme="majorHAnsi" w:cstheme="majorHAnsi"/>
          <w:highlight w:val="white"/>
          <w:lang w:val="es-CO"/>
        </w:rPr>
        <w:t xml:space="preserve">                   </w:t>
      </w:r>
      <w:r w:rsidR="00F24E01" w:rsidRPr="00A90CC5">
        <w:rPr>
          <w:rFonts w:asciiTheme="majorHAnsi" w:eastAsia="Century Gothic" w:hAnsiTheme="majorHAnsi" w:cstheme="majorHAnsi"/>
          <w:highlight w:val="white"/>
          <w:lang w:val="es-CO"/>
        </w:rPr>
        <w:t xml:space="preserve">     </w:t>
      </w:r>
      <w:r w:rsidR="00A90CC5">
        <w:rPr>
          <w:rFonts w:asciiTheme="majorHAnsi" w:eastAsia="Century Gothic" w:hAnsiTheme="majorHAnsi" w:cstheme="majorHAnsi"/>
          <w:highlight w:val="white"/>
          <w:lang w:val="es-CO"/>
        </w:rPr>
        <w:tab/>
      </w:r>
      <w:r w:rsidR="00A90CC5">
        <w:rPr>
          <w:rFonts w:asciiTheme="majorHAnsi" w:eastAsia="Century Gothic" w:hAnsiTheme="majorHAnsi" w:cstheme="majorHAnsi"/>
          <w:highlight w:val="white"/>
          <w:lang w:val="es-CO"/>
        </w:rPr>
        <w:tab/>
      </w:r>
      <w:r w:rsidR="00397701" w:rsidRPr="00A90CC5">
        <w:rPr>
          <w:rFonts w:asciiTheme="majorHAnsi" w:eastAsia="Century Gothic" w:hAnsiTheme="majorHAnsi" w:cstheme="majorHAnsi"/>
          <w:highlight w:val="white"/>
          <w:lang w:val="es-CO"/>
        </w:rPr>
        <w:t>Presidenta</w:t>
      </w:r>
    </w:p>
    <w:p w14:paraId="3A6BC43A" w14:textId="59853B97" w:rsidR="00AD51EA" w:rsidRPr="00A90CC5" w:rsidRDefault="00AD51EA" w:rsidP="008F4A66">
      <w:pPr>
        <w:tabs>
          <w:tab w:val="left" w:pos="4820"/>
        </w:tabs>
        <w:spacing w:after="0" w:line="240" w:lineRule="auto"/>
        <w:rPr>
          <w:rFonts w:asciiTheme="majorHAnsi" w:eastAsia="Century Gothic" w:hAnsiTheme="majorHAnsi" w:cstheme="majorHAnsi"/>
          <w:highlight w:val="white"/>
          <w:lang w:val="es-CO"/>
        </w:rPr>
      </w:pPr>
    </w:p>
    <w:p w14:paraId="14630E03" w14:textId="77777777" w:rsidR="00397701" w:rsidRPr="00A90CC5" w:rsidRDefault="00397701" w:rsidP="008F4A66">
      <w:pPr>
        <w:tabs>
          <w:tab w:val="left" w:pos="4820"/>
        </w:tabs>
        <w:spacing w:after="0" w:line="240" w:lineRule="auto"/>
        <w:rPr>
          <w:rFonts w:asciiTheme="majorHAnsi" w:eastAsia="Century Gothic" w:hAnsiTheme="majorHAnsi" w:cstheme="majorHAnsi"/>
          <w:highlight w:val="white"/>
          <w:lang w:val="es-CO"/>
        </w:rPr>
      </w:pPr>
    </w:p>
    <w:p w14:paraId="009B38C7" w14:textId="77777777" w:rsidR="006F017F" w:rsidRPr="00A90CC5" w:rsidRDefault="006F017F" w:rsidP="008F4A66">
      <w:pPr>
        <w:tabs>
          <w:tab w:val="left" w:pos="4820"/>
        </w:tabs>
        <w:spacing w:after="0" w:line="240" w:lineRule="auto"/>
        <w:rPr>
          <w:rFonts w:asciiTheme="majorHAnsi" w:eastAsia="Century Gothic" w:hAnsiTheme="majorHAnsi" w:cstheme="majorHAnsi"/>
          <w:highlight w:val="white"/>
          <w:lang w:val="es-CO"/>
        </w:rPr>
      </w:pPr>
    </w:p>
    <w:p w14:paraId="2451FF04" w14:textId="07ED393C" w:rsidR="006F017F" w:rsidRPr="00A90CC5" w:rsidRDefault="00EC4CC5" w:rsidP="008F4A66">
      <w:pPr>
        <w:tabs>
          <w:tab w:val="left" w:pos="4820"/>
        </w:tabs>
        <w:spacing w:after="0" w:line="240" w:lineRule="auto"/>
        <w:rPr>
          <w:rFonts w:asciiTheme="majorHAnsi" w:eastAsia="Century Gothic" w:hAnsiTheme="majorHAnsi" w:cstheme="majorHAnsi"/>
          <w:b/>
          <w:highlight w:val="white"/>
          <w:lang w:val="es-CO"/>
        </w:rPr>
      </w:pPr>
      <w:r w:rsidRPr="00A90CC5">
        <w:rPr>
          <w:rFonts w:asciiTheme="majorHAnsi" w:eastAsia="Century Gothic" w:hAnsiTheme="majorHAnsi" w:cstheme="majorHAnsi"/>
          <w:b/>
          <w:highlight w:val="white"/>
          <w:lang w:val="es-CO"/>
        </w:rPr>
        <w:t xml:space="preserve"> </w:t>
      </w:r>
      <w:r w:rsidRPr="00A90CC5">
        <w:rPr>
          <w:rFonts w:asciiTheme="majorHAnsi" w:eastAsia="Century Gothic" w:hAnsiTheme="majorHAnsi" w:cstheme="majorHAnsi"/>
          <w:highlight w:val="white"/>
          <w:lang w:val="es-CO"/>
        </w:rPr>
        <w:t xml:space="preserve">  </w:t>
      </w:r>
      <w:r w:rsidR="00397701" w:rsidRPr="00A90CC5">
        <w:rPr>
          <w:rFonts w:asciiTheme="majorHAnsi" w:eastAsia="Century Gothic" w:hAnsiTheme="majorHAnsi" w:cstheme="majorHAnsi"/>
          <w:highlight w:val="white"/>
          <w:lang w:val="es-CO"/>
        </w:rPr>
        <w:t xml:space="preserve">                          </w:t>
      </w:r>
      <w:r w:rsidR="00A90CC5">
        <w:rPr>
          <w:rFonts w:asciiTheme="majorHAnsi" w:eastAsia="Century Gothic" w:hAnsiTheme="majorHAnsi" w:cstheme="majorHAnsi"/>
          <w:highlight w:val="white"/>
          <w:lang w:val="es-CO"/>
        </w:rPr>
        <w:t xml:space="preserve">                    </w:t>
      </w:r>
      <w:r w:rsidR="00AD51EA" w:rsidRPr="00A90CC5">
        <w:rPr>
          <w:rFonts w:asciiTheme="majorHAnsi" w:eastAsia="Century Gothic" w:hAnsiTheme="majorHAnsi" w:cstheme="majorHAnsi"/>
          <w:b/>
          <w:highlight w:val="white"/>
          <w:lang w:val="es-CO"/>
        </w:rPr>
        <w:t>AMPARO Y</w:t>
      </w:r>
      <w:r w:rsidRPr="00A90CC5">
        <w:rPr>
          <w:rFonts w:asciiTheme="majorHAnsi" w:eastAsia="Century Gothic" w:hAnsiTheme="majorHAnsi" w:cstheme="majorHAnsi"/>
          <w:b/>
          <w:highlight w:val="white"/>
          <w:lang w:val="es-CO"/>
        </w:rPr>
        <w:t>.</w:t>
      </w:r>
      <w:r w:rsidR="00AD51EA" w:rsidRPr="00A90CC5">
        <w:rPr>
          <w:rFonts w:asciiTheme="majorHAnsi" w:eastAsia="Century Gothic" w:hAnsiTheme="majorHAnsi" w:cstheme="majorHAnsi"/>
          <w:b/>
          <w:highlight w:val="white"/>
          <w:lang w:val="es-CO"/>
        </w:rPr>
        <w:t xml:space="preserve"> CALDERON PERDOMO</w:t>
      </w:r>
    </w:p>
    <w:p w14:paraId="60946FD0" w14:textId="5E681B61" w:rsidR="00BC3E4B" w:rsidRPr="00A90CC5" w:rsidRDefault="00741CBB" w:rsidP="00760A35">
      <w:pPr>
        <w:tabs>
          <w:tab w:val="left" w:pos="4820"/>
        </w:tabs>
        <w:spacing w:after="0" w:line="240" w:lineRule="auto"/>
        <w:rPr>
          <w:rFonts w:ascii="Arial" w:eastAsia="Century Gothic" w:hAnsi="Arial" w:cs="Arial"/>
          <w:highlight w:val="white"/>
        </w:rPr>
      </w:pPr>
      <w:r w:rsidRPr="00A90CC5">
        <w:rPr>
          <w:rFonts w:asciiTheme="majorHAnsi" w:eastAsia="Century Gothic" w:hAnsiTheme="majorHAnsi" w:cstheme="majorHAnsi"/>
          <w:highlight w:val="white"/>
          <w:lang w:val="es-CO"/>
        </w:rPr>
        <w:t xml:space="preserve">                             </w:t>
      </w:r>
      <w:r w:rsidR="00397701" w:rsidRPr="00A90CC5">
        <w:rPr>
          <w:rFonts w:asciiTheme="majorHAnsi" w:eastAsia="Century Gothic" w:hAnsiTheme="majorHAnsi" w:cstheme="majorHAnsi"/>
          <w:highlight w:val="white"/>
          <w:lang w:val="es-CO"/>
        </w:rPr>
        <w:t xml:space="preserve">     </w:t>
      </w:r>
      <w:r w:rsidRPr="00A90CC5">
        <w:rPr>
          <w:rFonts w:asciiTheme="majorHAnsi" w:eastAsia="Century Gothic" w:hAnsiTheme="majorHAnsi" w:cstheme="majorHAnsi"/>
          <w:highlight w:val="white"/>
          <w:lang w:val="es-CO"/>
        </w:rPr>
        <w:t xml:space="preserve">               </w:t>
      </w:r>
      <w:r w:rsidR="00A90CC5">
        <w:rPr>
          <w:rFonts w:asciiTheme="majorHAnsi" w:eastAsia="Century Gothic" w:hAnsiTheme="majorHAnsi" w:cstheme="majorHAnsi"/>
          <w:highlight w:val="white"/>
          <w:lang w:val="es-CO"/>
        </w:rPr>
        <w:t xml:space="preserve">              </w:t>
      </w:r>
      <w:r w:rsidRPr="00A90CC5">
        <w:rPr>
          <w:rFonts w:asciiTheme="majorHAnsi" w:eastAsia="Century Gothic" w:hAnsiTheme="majorHAnsi" w:cstheme="majorHAnsi"/>
          <w:highlight w:val="white"/>
          <w:lang w:val="es-CO"/>
        </w:rPr>
        <w:t xml:space="preserve">    </w:t>
      </w:r>
      <w:r w:rsidR="00760A35">
        <w:rPr>
          <w:rFonts w:asciiTheme="majorHAnsi" w:eastAsia="Century Gothic" w:hAnsiTheme="majorHAnsi" w:cstheme="majorHAnsi"/>
          <w:highlight w:val="white"/>
          <w:lang w:val="es-CO"/>
        </w:rPr>
        <w:t xml:space="preserve">   </w:t>
      </w:r>
      <w:r w:rsidRPr="00A90CC5">
        <w:rPr>
          <w:rFonts w:asciiTheme="majorHAnsi" w:eastAsia="Century Gothic" w:hAnsiTheme="majorHAnsi" w:cstheme="majorHAnsi"/>
          <w:highlight w:val="white"/>
          <w:lang w:val="es-CO"/>
        </w:rPr>
        <w:t>Secretaria</w:t>
      </w:r>
    </w:p>
    <w:p w14:paraId="703C75BA" w14:textId="77777777" w:rsidR="00F7426C" w:rsidRPr="00A52EA9" w:rsidRDefault="00F7426C">
      <w:pPr>
        <w:jc w:val="both"/>
        <w:rPr>
          <w:rFonts w:ascii="Arial" w:eastAsia="Century Gothic" w:hAnsi="Arial" w:cs="Arial"/>
          <w:sz w:val="24"/>
          <w:szCs w:val="24"/>
        </w:rPr>
      </w:pPr>
    </w:p>
    <w:sectPr w:rsidR="00F7426C" w:rsidRPr="00A52EA9"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CE1F6" w14:textId="77777777" w:rsidR="001F35C1" w:rsidRDefault="001F35C1">
      <w:pPr>
        <w:spacing w:after="0" w:line="240" w:lineRule="auto"/>
      </w:pPr>
      <w:r>
        <w:separator/>
      </w:r>
    </w:p>
  </w:endnote>
  <w:endnote w:type="continuationSeparator" w:id="0">
    <w:p w14:paraId="50AB7AFD" w14:textId="77777777" w:rsidR="001F35C1" w:rsidRDefault="001F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767AA4" w:rsidRDefault="00767AA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767AA4" w:rsidRDefault="00767AA4">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778004"/>
      <w:docPartObj>
        <w:docPartGallery w:val="Page Numbers (Bottom of Page)"/>
        <w:docPartUnique/>
      </w:docPartObj>
    </w:sdtPr>
    <w:sdtEndPr/>
    <w:sdtContent>
      <w:p w14:paraId="77273085" w14:textId="7268FFBF" w:rsidR="00767AA4" w:rsidRDefault="00767AA4">
        <w:pPr>
          <w:pStyle w:val="Piedepgina"/>
          <w:jc w:val="right"/>
        </w:pPr>
        <w:r>
          <w:fldChar w:fldCharType="begin"/>
        </w:r>
        <w:r>
          <w:instrText>PAGE   \* MERGEFORMAT</w:instrText>
        </w:r>
        <w:r>
          <w:fldChar w:fldCharType="separate"/>
        </w:r>
        <w:r w:rsidR="00E85658" w:rsidRPr="00E85658">
          <w:rPr>
            <w:noProof/>
            <w:lang w:val="es-ES"/>
          </w:rPr>
          <w:t>10</w:t>
        </w:r>
        <w:r>
          <w:fldChar w:fldCharType="end"/>
        </w:r>
      </w:p>
    </w:sdtContent>
  </w:sdt>
  <w:p w14:paraId="43D26565" w14:textId="6DF1FA96" w:rsidR="00767AA4" w:rsidRDefault="00767AA4" w:rsidP="00CA7BFC">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DF95" w14:textId="77777777" w:rsidR="001F35C1" w:rsidRDefault="001F35C1">
      <w:pPr>
        <w:spacing w:after="0" w:line="240" w:lineRule="auto"/>
      </w:pPr>
      <w:r>
        <w:separator/>
      </w:r>
    </w:p>
  </w:footnote>
  <w:footnote w:type="continuationSeparator" w:id="0">
    <w:p w14:paraId="5D3DF7C6" w14:textId="77777777" w:rsidR="001F35C1" w:rsidRDefault="001F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767AA4" w:rsidRPr="00CA7BFC" w:rsidRDefault="00767AA4"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15:restartNumberingAfterBreak="0">
    <w:nsid w:val="23C57CB2"/>
    <w:multiLevelType w:val="multilevel"/>
    <w:tmpl w:val="38520E0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A02C23"/>
    <w:multiLevelType w:val="multilevel"/>
    <w:tmpl w:val="FC2600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1512C8"/>
    <w:multiLevelType w:val="multilevel"/>
    <w:tmpl w:val="7D9C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6"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7"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9"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0"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3"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4" w15:restartNumberingAfterBreak="0">
    <w:nsid w:val="62231BCE"/>
    <w:multiLevelType w:val="multilevel"/>
    <w:tmpl w:val="AA66BC6C"/>
    <w:lvl w:ilvl="0">
      <w:start w:val="1"/>
      <w:numFmt w:val="decimal"/>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7"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8" w15:restartNumberingAfterBreak="0">
    <w:nsid w:val="694D7F71"/>
    <w:multiLevelType w:val="multilevel"/>
    <w:tmpl w:val="DAC2D9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75782C"/>
    <w:multiLevelType w:val="multilevel"/>
    <w:tmpl w:val="C70828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31" w15:restartNumberingAfterBreak="0">
    <w:nsid w:val="72DF2843"/>
    <w:multiLevelType w:val="multilevel"/>
    <w:tmpl w:val="97D8C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33"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34"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7"/>
  </w:num>
  <w:num w:numId="2">
    <w:abstractNumId w:val="22"/>
  </w:num>
  <w:num w:numId="3">
    <w:abstractNumId w:val="32"/>
  </w:num>
  <w:num w:numId="4">
    <w:abstractNumId w:val="33"/>
  </w:num>
  <w:num w:numId="5">
    <w:abstractNumId w:val="5"/>
  </w:num>
  <w:num w:numId="6">
    <w:abstractNumId w:val="2"/>
  </w:num>
  <w:num w:numId="7">
    <w:abstractNumId w:val="11"/>
  </w:num>
  <w:num w:numId="8">
    <w:abstractNumId w:val="25"/>
  </w:num>
  <w:num w:numId="9">
    <w:abstractNumId w:val="3"/>
  </w:num>
  <w:num w:numId="10">
    <w:abstractNumId w:val="20"/>
  </w:num>
  <w:num w:numId="11">
    <w:abstractNumId w:val="16"/>
  </w:num>
  <w:num w:numId="12">
    <w:abstractNumId w:val="26"/>
  </w:num>
  <w:num w:numId="13">
    <w:abstractNumId w:val="4"/>
  </w:num>
  <w:num w:numId="14">
    <w:abstractNumId w:val="1"/>
  </w:num>
  <w:num w:numId="15">
    <w:abstractNumId w:val="9"/>
  </w:num>
  <w:num w:numId="16">
    <w:abstractNumId w:val="0"/>
  </w:num>
  <w:num w:numId="17">
    <w:abstractNumId w:val="19"/>
  </w:num>
  <w:num w:numId="18">
    <w:abstractNumId w:val="6"/>
  </w:num>
  <w:num w:numId="19">
    <w:abstractNumId w:val="18"/>
  </w:num>
  <w:num w:numId="20">
    <w:abstractNumId w:val="35"/>
  </w:num>
  <w:num w:numId="21">
    <w:abstractNumId w:val="34"/>
  </w:num>
  <w:num w:numId="22">
    <w:abstractNumId w:val="7"/>
  </w:num>
  <w:num w:numId="23">
    <w:abstractNumId w:val="21"/>
  </w:num>
  <w:num w:numId="24">
    <w:abstractNumId w:val="23"/>
  </w:num>
  <w:num w:numId="25">
    <w:abstractNumId w:val="13"/>
  </w:num>
  <w:num w:numId="26">
    <w:abstractNumId w:val="15"/>
  </w:num>
  <w:num w:numId="27">
    <w:abstractNumId w:val="8"/>
  </w:num>
  <w:num w:numId="28">
    <w:abstractNumId w:val="30"/>
  </w:num>
  <w:num w:numId="29">
    <w:abstractNumId w:val="17"/>
  </w:num>
  <w:num w:numId="30">
    <w:abstractNumId w:val="14"/>
  </w:num>
  <w:num w:numId="31">
    <w:abstractNumId w:val="10"/>
  </w:num>
  <w:num w:numId="32">
    <w:abstractNumId w:val="28"/>
  </w:num>
  <w:num w:numId="33">
    <w:abstractNumId w:val="31"/>
  </w:num>
  <w:num w:numId="34">
    <w:abstractNumId w:val="12"/>
  </w:num>
  <w:num w:numId="35">
    <w:abstractNumId w:val="2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41683"/>
    <w:rsid w:val="00065AC7"/>
    <w:rsid w:val="000902F6"/>
    <w:rsid w:val="000A283A"/>
    <w:rsid w:val="000A412C"/>
    <w:rsid w:val="000B61F9"/>
    <w:rsid w:val="000C7630"/>
    <w:rsid w:val="000D7330"/>
    <w:rsid w:val="000F29C4"/>
    <w:rsid w:val="000F6059"/>
    <w:rsid w:val="00105C0C"/>
    <w:rsid w:val="00106939"/>
    <w:rsid w:val="00116A80"/>
    <w:rsid w:val="001262EE"/>
    <w:rsid w:val="001303B7"/>
    <w:rsid w:val="00141E9A"/>
    <w:rsid w:val="00147335"/>
    <w:rsid w:val="00150F01"/>
    <w:rsid w:val="001540F4"/>
    <w:rsid w:val="00172E90"/>
    <w:rsid w:val="00182924"/>
    <w:rsid w:val="001931DC"/>
    <w:rsid w:val="00194732"/>
    <w:rsid w:val="0019493F"/>
    <w:rsid w:val="00194A32"/>
    <w:rsid w:val="001A1496"/>
    <w:rsid w:val="001B5ECF"/>
    <w:rsid w:val="001E295C"/>
    <w:rsid w:val="001F35C1"/>
    <w:rsid w:val="001F7274"/>
    <w:rsid w:val="0023416D"/>
    <w:rsid w:val="00234680"/>
    <w:rsid w:val="00236453"/>
    <w:rsid w:val="0024017C"/>
    <w:rsid w:val="00243FDF"/>
    <w:rsid w:val="00246D97"/>
    <w:rsid w:val="00247B5E"/>
    <w:rsid w:val="00256F3E"/>
    <w:rsid w:val="0026503A"/>
    <w:rsid w:val="0026574D"/>
    <w:rsid w:val="002669EA"/>
    <w:rsid w:val="00276C64"/>
    <w:rsid w:val="002810C7"/>
    <w:rsid w:val="00295EE4"/>
    <w:rsid w:val="002A050B"/>
    <w:rsid w:val="002A46E9"/>
    <w:rsid w:val="002A5E31"/>
    <w:rsid w:val="002B15AE"/>
    <w:rsid w:val="002B15ED"/>
    <w:rsid w:val="002B3A30"/>
    <w:rsid w:val="00315734"/>
    <w:rsid w:val="00321B83"/>
    <w:rsid w:val="00340EFF"/>
    <w:rsid w:val="003437D7"/>
    <w:rsid w:val="003510CB"/>
    <w:rsid w:val="0037298F"/>
    <w:rsid w:val="003941C4"/>
    <w:rsid w:val="00397701"/>
    <w:rsid w:val="003A213A"/>
    <w:rsid w:val="003B2913"/>
    <w:rsid w:val="003B3B0C"/>
    <w:rsid w:val="003E75DB"/>
    <w:rsid w:val="004043FA"/>
    <w:rsid w:val="00405A9E"/>
    <w:rsid w:val="00407019"/>
    <w:rsid w:val="0041411A"/>
    <w:rsid w:val="00416636"/>
    <w:rsid w:val="0043131B"/>
    <w:rsid w:val="00436FA1"/>
    <w:rsid w:val="004505B3"/>
    <w:rsid w:val="004752D7"/>
    <w:rsid w:val="004917BA"/>
    <w:rsid w:val="00491DCE"/>
    <w:rsid w:val="0049278A"/>
    <w:rsid w:val="004B7582"/>
    <w:rsid w:val="004D030A"/>
    <w:rsid w:val="004D4CEF"/>
    <w:rsid w:val="004E6CD8"/>
    <w:rsid w:val="00503113"/>
    <w:rsid w:val="00507CA6"/>
    <w:rsid w:val="00510F07"/>
    <w:rsid w:val="005251C4"/>
    <w:rsid w:val="00525502"/>
    <w:rsid w:val="005378E9"/>
    <w:rsid w:val="00542D8A"/>
    <w:rsid w:val="00545EDC"/>
    <w:rsid w:val="00551FAF"/>
    <w:rsid w:val="00552946"/>
    <w:rsid w:val="00555607"/>
    <w:rsid w:val="005630AC"/>
    <w:rsid w:val="00577529"/>
    <w:rsid w:val="005818F7"/>
    <w:rsid w:val="00593BA6"/>
    <w:rsid w:val="005B0F1A"/>
    <w:rsid w:val="005B728D"/>
    <w:rsid w:val="005E62E3"/>
    <w:rsid w:val="005F0222"/>
    <w:rsid w:val="005F0DD3"/>
    <w:rsid w:val="005F7A53"/>
    <w:rsid w:val="00600635"/>
    <w:rsid w:val="006013AA"/>
    <w:rsid w:val="0060752B"/>
    <w:rsid w:val="006153FB"/>
    <w:rsid w:val="0063210B"/>
    <w:rsid w:val="0063590E"/>
    <w:rsid w:val="00642606"/>
    <w:rsid w:val="00652DA7"/>
    <w:rsid w:val="0065723A"/>
    <w:rsid w:val="00660B74"/>
    <w:rsid w:val="006667B4"/>
    <w:rsid w:val="00673CFA"/>
    <w:rsid w:val="00682B72"/>
    <w:rsid w:val="006852F4"/>
    <w:rsid w:val="006942BD"/>
    <w:rsid w:val="006A2B87"/>
    <w:rsid w:val="006A3DB4"/>
    <w:rsid w:val="006B1F0F"/>
    <w:rsid w:val="006C39A6"/>
    <w:rsid w:val="006C6EE4"/>
    <w:rsid w:val="006D3CF8"/>
    <w:rsid w:val="006E2D89"/>
    <w:rsid w:val="006E4384"/>
    <w:rsid w:val="006E7EF1"/>
    <w:rsid w:val="006F017F"/>
    <w:rsid w:val="00702517"/>
    <w:rsid w:val="00705D04"/>
    <w:rsid w:val="007167FA"/>
    <w:rsid w:val="0072237B"/>
    <w:rsid w:val="0073136B"/>
    <w:rsid w:val="00741CBB"/>
    <w:rsid w:val="00742066"/>
    <w:rsid w:val="00747CD3"/>
    <w:rsid w:val="00760A35"/>
    <w:rsid w:val="00762755"/>
    <w:rsid w:val="00767AA4"/>
    <w:rsid w:val="00771A2E"/>
    <w:rsid w:val="00780E9C"/>
    <w:rsid w:val="00781CF3"/>
    <w:rsid w:val="00791C09"/>
    <w:rsid w:val="00797014"/>
    <w:rsid w:val="0079778B"/>
    <w:rsid w:val="007B07DC"/>
    <w:rsid w:val="007C0DA2"/>
    <w:rsid w:val="007C1E3B"/>
    <w:rsid w:val="007D6DC1"/>
    <w:rsid w:val="007F09C2"/>
    <w:rsid w:val="007F4BEC"/>
    <w:rsid w:val="0082664A"/>
    <w:rsid w:val="0083070F"/>
    <w:rsid w:val="0084390D"/>
    <w:rsid w:val="00856272"/>
    <w:rsid w:val="00873BFD"/>
    <w:rsid w:val="0088379D"/>
    <w:rsid w:val="008868FE"/>
    <w:rsid w:val="008B6AD1"/>
    <w:rsid w:val="008D4AD2"/>
    <w:rsid w:val="008E2915"/>
    <w:rsid w:val="008F3193"/>
    <w:rsid w:val="008F4A66"/>
    <w:rsid w:val="0090529A"/>
    <w:rsid w:val="009214AB"/>
    <w:rsid w:val="00961568"/>
    <w:rsid w:val="009822A7"/>
    <w:rsid w:val="00986D25"/>
    <w:rsid w:val="00997B02"/>
    <w:rsid w:val="009A4D94"/>
    <w:rsid w:val="009A66DF"/>
    <w:rsid w:val="009B5108"/>
    <w:rsid w:val="009B75CE"/>
    <w:rsid w:val="009C5CF0"/>
    <w:rsid w:val="009D0B11"/>
    <w:rsid w:val="009D59D9"/>
    <w:rsid w:val="009E18F1"/>
    <w:rsid w:val="009F1DF4"/>
    <w:rsid w:val="009F76A0"/>
    <w:rsid w:val="00A267A4"/>
    <w:rsid w:val="00A52EA9"/>
    <w:rsid w:val="00A77A0F"/>
    <w:rsid w:val="00A817E7"/>
    <w:rsid w:val="00A8208E"/>
    <w:rsid w:val="00A83BB7"/>
    <w:rsid w:val="00A83D61"/>
    <w:rsid w:val="00A90CC5"/>
    <w:rsid w:val="00A93413"/>
    <w:rsid w:val="00AA1473"/>
    <w:rsid w:val="00AA3FA9"/>
    <w:rsid w:val="00AB2204"/>
    <w:rsid w:val="00AC2321"/>
    <w:rsid w:val="00AD3DC6"/>
    <w:rsid w:val="00AD4511"/>
    <w:rsid w:val="00AD51EA"/>
    <w:rsid w:val="00AE0BE1"/>
    <w:rsid w:val="00AE6BEB"/>
    <w:rsid w:val="00B124EA"/>
    <w:rsid w:val="00B136BA"/>
    <w:rsid w:val="00B46DCE"/>
    <w:rsid w:val="00B63F91"/>
    <w:rsid w:val="00B82A0F"/>
    <w:rsid w:val="00B836B6"/>
    <w:rsid w:val="00B87715"/>
    <w:rsid w:val="00B90122"/>
    <w:rsid w:val="00BA0210"/>
    <w:rsid w:val="00BB2372"/>
    <w:rsid w:val="00BC0E6E"/>
    <w:rsid w:val="00BC211F"/>
    <w:rsid w:val="00BC3E4B"/>
    <w:rsid w:val="00BD5BEB"/>
    <w:rsid w:val="00BD6AFC"/>
    <w:rsid w:val="00BF2A57"/>
    <w:rsid w:val="00C1217F"/>
    <w:rsid w:val="00C207AB"/>
    <w:rsid w:val="00C6479D"/>
    <w:rsid w:val="00C834D2"/>
    <w:rsid w:val="00C91E34"/>
    <w:rsid w:val="00C93BE4"/>
    <w:rsid w:val="00C94F86"/>
    <w:rsid w:val="00C95BD6"/>
    <w:rsid w:val="00CA0370"/>
    <w:rsid w:val="00CA4D33"/>
    <w:rsid w:val="00CA7BFC"/>
    <w:rsid w:val="00CB2646"/>
    <w:rsid w:val="00CC49ED"/>
    <w:rsid w:val="00CD211C"/>
    <w:rsid w:val="00CE088B"/>
    <w:rsid w:val="00CE7E1D"/>
    <w:rsid w:val="00CF40B5"/>
    <w:rsid w:val="00CF7E32"/>
    <w:rsid w:val="00D04C24"/>
    <w:rsid w:val="00D07AF9"/>
    <w:rsid w:val="00D42B91"/>
    <w:rsid w:val="00D47E9D"/>
    <w:rsid w:val="00D50E99"/>
    <w:rsid w:val="00D52439"/>
    <w:rsid w:val="00D627DA"/>
    <w:rsid w:val="00D73C93"/>
    <w:rsid w:val="00D847AE"/>
    <w:rsid w:val="00D93C41"/>
    <w:rsid w:val="00D93DEC"/>
    <w:rsid w:val="00DA0898"/>
    <w:rsid w:val="00DB44C2"/>
    <w:rsid w:val="00DC7280"/>
    <w:rsid w:val="00DD4878"/>
    <w:rsid w:val="00DD790F"/>
    <w:rsid w:val="00E47170"/>
    <w:rsid w:val="00E60B54"/>
    <w:rsid w:val="00E65366"/>
    <w:rsid w:val="00E72067"/>
    <w:rsid w:val="00E766A9"/>
    <w:rsid w:val="00E85658"/>
    <w:rsid w:val="00E9110D"/>
    <w:rsid w:val="00E9490B"/>
    <w:rsid w:val="00EA428F"/>
    <w:rsid w:val="00EB49F4"/>
    <w:rsid w:val="00EB54BA"/>
    <w:rsid w:val="00EB72E0"/>
    <w:rsid w:val="00EC40C8"/>
    <w:rsid w:val="00EC4CC5"/>
    <w:rsid w:val="00EC526A"/>
    <w:rsid w:val="00ED3091"/>
    <w:rsid w:val="00EE14AC"/>
    <w:rsid w:val="00EE1EE3"/>
    <w:rsid w:val="00EE4E39"/>
    <w:rsid w:val="00EE5E3F"/>
    <w:rsid w:val="00EE7500"/>
    <w:rsid w:val="00EF5F67"/>
    <w:rsid w:val="00EF6D30"/>
    <w:rsid w:val="00F10F67"/>
    <w:rsid w:val="00F23E48"/>
    <w:rsid w:val="00F24E01"/>
    <w:rsid w:val="00F26CCF"/>
    <w:rsid w:val="00F31B05"/>
    <w:rsid w:val="00F36B71"/>
    <w:rsid w:val="00F37352"/>
    <w:rsid w:val="00F374D0"/>
    <w:rsid w:val="00F4385E"/>
    <w:rsid w:val="00F458BD"/>
    <w:rsid w:val="00F47891"/>
    <w:rsid w:val="00F503F1"/>
    <w:rsid w:val="00F50B48"/>
    <w:rsid w:val="00F54649"/>
    <w:rsid w:val="00F55507"/>
    <w:rsid w:val="00F57485"/>
    <w:rsid w:val="00F6308D"/>
    <w:rsid w:val="00F7426C"/>
    <w:rsid w:val="00F751E3"/>
    <w:rsid w:val="00F839BE"/>
    <w:rsid w:val="00F878F1"/>
    <w:rsid w:val="00F9749D"/>
    <w:rsid w:val="00FA34E5"/>
    <w:rsid w:val="00FA7962"/>
    <w:rsid w:val="00FB6736"/>
    <w:rsid w:val="00FC1CBD"/>
    <w:rsid w:val="00FC6938"/>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564873049">
      <w:bodyDiv w:val="1"/>
      <w:marLeft w:val="0"/>
      <w:marRight w:val="0"/>
      <w:marTop w:val="0"/>
      <w:marBottom w:val="0"/>
      <w:divBdr>
        <w:top w:val="none" w:sz="0" w:space="0" w:color="auto"/>
        <w:left w:val="none" w:sz="0" w:space="0" w:color="auto"/>
        <w:bottom w:val="none" w:sz="0" w:space="0" w:color="auto"/>
        <w:right w:val="none" w:sz="0" w:space="0" w:color="auto"/>
      </w:divBdr>
      <w:divsChild>
        <w:div w:id="774252329">
          <w:marLeft w:val="0"/>
          <w:marRight w:val="0"/>
          <w:marTop w:val="0"/>
          <w:marBottom w:val="0"/>
          <w:divBdr>
            <w:top w:val="none" w:sz="0" w:space="0" w:color="auto"/>
            <w:left w:val="none" w:sz="0" w:space="0" w:color="auto"/>
            <w:bottom w:val="none" w:sz="0" w:space="0" w:color="auto"/>
            <w:right w:val="none" w:sz="0" w:space="0" w:color="auto"/>
          </w:divBdr>
        </w:div>
        <w:div w:id="1682052778">
          <w:marLeft w:val="0"/>
          <w:marRight w:val="0"/>
          <w:marTop w:val="0"/>
          <w:marBottom w:val="0"/>
          <w:divBdr>
            <w:top w:val="none" w:sz="0" w:space="0" w:color="auto"/>
            <w:left w:val="none" w:sz="0" w:space="0" w:color="auto"/>
            <w:bottom w:val="none" w:sz="0" w:space="0" w:color="auto"/>
            <w:right w:val="none" w:sz="0" w:space="0" w:color="auto"/>
          </w:divBdr>
        </w:div>
        <w:div w:id="2043936853">
          <w:marLeft w:val="0"/>
          <w:marRight w:val="0"/>
          <w:marTop w:val="0"/>
          <w:marBottom w:val="0"/>
          <w:divBdr>
            <w:top w:val="none" w:sz="0" w:space="0" w:color="auto"/>
            <w:left w:val="none" w:sz="0" w:space="0" w:color="auto"/>
            <w:bottom w:val="none" w:sz="0" w:space="0" w:color="auto"/>
            <w:right w:val="none" w:sz="0" w:space="0" w:color="auto"/>
          </w:divBdr>
        </w:div>
        <w:div w:id="851842026">
          <w:marLeft w:val="0"/>
          <w:marRight w:val="0"/>
          <w:marTop w:val="0"/>
          <w:marBottom w:val="0"/>
          <w:divBdr>
            <w:top w:val="none" w:sz="0" w:space="0" w:color="auto"/>
            <w:left w:val="none" w:sz="0" w:space="0" w:color="auto"/>
            <w:bottom w:val="none" w:sz="0" w:space="0" w:color="auto"/>
            <w:right w:val="none" w:sz="0" w:space="0" w:color="auto"/>
          </w:divBdr>
        </w:div>
        <w:div w:id="293104516">
          <w:marLeft w:val="0"/>
          <w:marRight w:val="0"/>
          <w:marTop w:val="0"/>
          <w:marBottom w:val="0"/>
          <w:divBdr>
            <w:top w:val="none" w:sz="0" w:space="0" w:color="auto"/>
            <w:left w:val="none" w:sz="0" w:space="0" w:color="auto"/>
            <w:bottom w:val="none" w:sz="0" w:space="0" w:color="auto"/>
            <w:right w:val="none" w:sz="0" w:space="0" w:color="auto"/>
          </w:divBdr>
        </w:div>
        <w:div w:id="1299803922">
          <w:marLeft w:val="0"/>
          <w:marRight w:val="0"/>
          <w:marTop w:val="0"/>
          <w:marBottom w:val="0"/>
          <w:divBdr>
            <w:top w:val="none" w:sz="0" w:space="0" w:color="auto"/>
            <w:left w:val="none" w:sz="0" w:space="0" w:color="auto"/>
            <w:bottom w:val="none" w:sz="0" w:space="0" w:color="auto"/>
            <w:right w:val="none" w:sz="0" w:space="0" w:color="auto"/>
          </w:divBdr>
        </w:div>
        <w:div w:id="722798593">
          <w:marLeft w:val="0"/>
          <w:marRight w:val="0"/>
          <w:marTop w:val="0"/>
          <w:marBottom w:val="0"/>
          <w:divBdr>
            <w:top w:val="none" w:sz="0" w:space="0" w:color="auto"/>
            <w:left w:val="none" w:sz="0" w:space="0" w:color="auto"/>
            <w:bottom w:val="none" w:sz="0" w:space="0" w:color="auto"/>
            <w:right w:val="none" w:sz="0" w:space="0" w:color="auto"/>
          </w:divBdr>
        </w:div>
      </w:divsChild>
    </w:div>
    <w:div w:id="654840409">
      <w:bodyDiv w:val="1"/>
      <w:marLeft w:val="0"/>
      <w:marRight w:val="0"/>
      <w:marTop w:val="0"/>
      <w:marBottom w:val="0"/>
      <w:divBdr>
        <w:top w:val="none" w:sz="0" w:space="0" w:color="auto"/>
        <w:left w:val="none" w:sz="0" w:space="0" w:color="auto"/>
        <w:bottom w:val="none" w:sz="0" w:space="0" w:color="auto"/>
        <w:right w:val="none" w:sz="0" w:space="0" w:color="auto"/>
      </w:divBdr>
      <w:divsChild>
        <w:div w:id="2117631699">
          <w:marLeft w:val="0"/>
          <w:marRight w:val="0"/>
          <w:marTop w:val="0"/>
          <w:marBottom w:val="0"/>
          <w:divBdr>
            <w:top w:val="none" w:sz="0" w:space="0" w:color="auto"/>
            <w:left w:val="none" w:sz="0" w:space="0" w:color="auto"/>
            <w:bottom w:val="none" w:sz="0" w:space="0" w:color="auto"/>
            <w:right w:val="none" w:sz="0" w:space="0" w:color="auto"/>
          </w:divBdr>
        </w:div>
        <w:div w:id="336807398">
          <w:marLeft w:val="0"/>
          <w:marRight w:val="0"/>
          <w:marTop w:val="0"/>
          <w:marBottom w:val="0"/>
          <w:divBdr>
            <w:top w:val="none" w:sz="0" w:space="0" w:color="auto"/>
            <w:left w:val="none" w:sz="0" w:space="0" w:color="auto"/>
            <w:bottom w:val="none" w:sz="0" w:space="0" w:color="auto"/>
            <w:right w:val="none" w:sz="0" w:space="0" w:color="auto"/>
          </w:divBdr>
        </w:div>
        <w:div w:id="385106384">
          <w:marLeft w:val="0"/>
          <w:marRight w:val="0"/>
          <w:marTop w:val="0"/>
          <w:marBottom w:val="0"/>
          <w:divBdr>
            <w:top w:val="none" w:sz="0" w:space="0" w:color="auto"/>
            <w:left w:val="none" w:sz="0" w:space="0" w:color="auto"/>
            <w:bottom w:val="none" w:sz="0" w:space="0" w:color="auto"/>
            <w:right w:val="none" w:sz="0" w:space="0" w:color="auto"/>
          </w:divBdr>
        </w:div>
        <w:div w:id="1607804584">
          <w:marLeft w:val="0"/>
          <w:marRight w:val="0"/>
          <w:marTop w:val="0"/>
          <w:marBottom w:val="0"/>
          <w:divBdr>
            <w:top w:val="none" w:sz="0" w:space="0" w:color="auto"/>
            <w:left w:val="none" w:sz="0" w:space="0" w:color="auto"/>
            <w:bottom w:val="none" w:sz="0" w:space="0" w:color="auto"/>
            <w:right w:val="none" w:sz="0" w:space="0" w:color="auto"/>
          </w:divBdr>
        </w:div>
        <w:div w:id="168646248">
          <w:marLeft w:val="0"/>
          <w:marRight w:val="0"/>
          <w:marTop w:val="0"/>
          <w:marBottom w:val="0"/>
          <w:divBdr>
            <w:top w:val="none" w:sz="0" w:space="0" w:color="auto"/>
            <w:left w:val="none" w:sz="0" w:space="0" w:color="auto"/>
            <w:bottom w:val="none" w:sz="0" w:space="0" w:color="auto"/>
            <w:right w:val="none" w:sz="0" w:space="0" w:color="auto"/>
          </w:divBdr>
        </w:div>
        <w:div w:id="2062287712">
          <w:marLeft w:val="0"/>
          <w:marRight w:val="0"/>
          <w:marTop w:val="0"/>
          <w:marBottom w:val="0"/>
          <w:divBdr>
            <w:top w:val="none" w:sz="0" w:space="0" w:color="auto"/>
            <w:left w:val="none" w:sz="0" w:space="0" w:color="auto"/>
            <w:bottom w:val="none" w:sz="0" w:space="0" w:color="auto"/>
            <w:right w:val="none" w:sz="0" w:space="0" w:color="auto"/>
          </w:divBdr>
        </w:div>
        <w:div w:id="2007054144">
          <w:marLeft w:val="0"/>
          <w:marRight w:val="0"/>
          <w:marTop w:val="0"/>
          <w:marBottom w:val="0"/>
          <w:divBdr>
            <w:top w:val="none" w:sz="0" w:space="0" w:color="auto"/>
            <w:left w:val="none" w:sz="0" w:space="0" w:color="auto"/>
            <w:bottom w:val="none" w:sz="0" w:space="0" w:color="auto"/>
            <w:right w:val="none" w:sz="0" w:space="0" w:color="auto"/>
          </w:divBdr>
        </w:div>
        <w:div w:id="1027877799">
          <w:marLeft w:val="0"/>
          <w:marRight w:val="0"/>
          <w:marTop w:val="0"/>
          <w:marBottom w:val="0"/>
          <w:divBdr>
            <w:top w:val="none" w:sz="0" w:space="0" w:color="auto"/>
            <w:left w:val="none" w:sz="0" w:space="0" w:color="auto"/>
            <w:bottom w:val="none" w:sz="0" w:space="0" w:color="auto"/>
            <w:right w:val="none" w:sz="0" w:space="0" w:color="auto"/>
          </w:divBdr>
        </w:div>
        <w:div w:id="764107337">
          <w:marLeft w:val="0"/>
          <w:marRight w:val="0"/>
          <w:marTop w:val="0"/>
          <w:marBottom w:val="0"/>
          <w:divBdr>
            <w:top w:val="none" w:sz="0" w:space="0" w:color="auto"/>
            <w:left w:val="none" w:sz="0" w:space="0" w:color="auto"/>
            <w:bottom w:val="none" w:sz="0" w:space="0" w:color="auto"/>
            <w:right w:val="none" w:sz="0" w:space="0" w:color="auto"/>
          </w:divBdr>
        </w:div>
        <w:div w:id="1017387197">
          <w:marLeft w:val="0"/>
          <w:marRight w:val="0"/>
          <w:marTop w:val="0"/>
          <w:marBottom w:val="0"/>
          <w:divBdr>
            <w:top w:val="none" w:sz="0" w:space="0" w:color="auto"/>
            <w:left w:val="none" w:sz="0" w:space="0" w:color="auto"/>
            <w:bottom w:val="none" w:sz="0" w:space="0" w:color="auto"/>
            <w:right w:val="none" w:sz="0" w:space="0" w:color="auto"/>
          </w:divBdr>
        </w:div>
        <w:div w:id="661666897">
          <w:marLeft w:val="0"/>
          <w:marRight w:val="0"/>
          <w:marTop w:val="0"/>
          <w:marBottom w:val="0"/>
          <w:divBdr>
            <w:top w:val="none" w:sz="0" w:space="0" w:color="auto"/>
            <w:left w:val="none" w:sz="0" w:space="0" w:color="auto"/>
            <w:bottom w:val="none" w:sz="0" w:space="0" w:color="auto"/>
            <w:right w:val="none" w:sz="0" w:space="0" w:color="auto"/>
          </w:divBdr>
        </w:div>
        <w:div w:id="447547177">
          <w:marLeft w:val="0"/>
          <w:marRight w:val="0"/>
          <w:marTop w:val="0"/>
          <w:marBottom w:val="0"/>
          <w:divBdr>
            <w:top w:val="none" w:sz="0" w:space="0" w:color="auto"/>
            <w:left w:val="none" w:sz="0" w:space="0" w:color="auto"/>
            <w:bottom w:val="none" w:sz="0" w:space="0" w:color="auto"/>
            <w:right w:val="none" w:sz="0" w:space="0" w:color="auto"/>
          </w:divBdr>
        </w:div>
        <w:div w:id="1137381344">
          <w:marLeft w:val="0"/>
          <w:marRight w:val="0"/>
          <w:marTop w:val="0"/>
          <w:marBottom w:val="0"/>
          <w:divBdr>
            <w:top w:val="none" w:sz="0" w:space="0" w:color="auto"/>
            <w:left w:val="none" w:sz="0" w:space="0" w:color="auto"/>
            <w:bottom w:val="none" w:sz="0" w:space="0" w:color="auto"/>
            <w:right w:val="none" w:sz="0" w:space="0" w:color="auto"/>
          </w:divBdr>
        </w:div>
        <w:div w:id="467549589">
          <w:marLeft w:val="0"/>
          <w:marRight w:val="0"/>
          <w:marTop w:val="0"/>
          <w:marBottom w:val="0"/>
          <w:divBdr>
            <w:top w:val="none" w:sz="0" w:space="0" w:color="auto"/>
            <w:left w:val="none" w:sz="0" w:space="0" w:color="auto"/>
            <w:bottom w:val="none" w:sz="0" w:space="0" w:color="auto"/>
            <w:right w:val="none" w:sz="0" w:space="0" w:color="auto"/>
          </w:divBdr>
        </w:div>
        <w:div w:id="614793561">
          <w:marLeft w:val="0"/>
          <w:marRight w:val="0"/>
          <w:marTop w:val="0"/>
          <w:marBottom w:val="0"/>
          <w:divBdr>
            <w:top w:val="none" w:sz="0" w:space="0" w:color="auto"/>
            <w:left w:val="none" w:sz="0" w:space="0" w:color="auto"/>
            <w:bottom w:val="none" w:sz="0" w:space="0" w:color="auto"/>
            <w:right w:val="none" w:sz="0" w:space="0" w:color="auto"/>
          </w:divBdr>
        </w:div>
        <w:div w:id="1067920833">
          <w:marLeft w:val="0"/>
          <w:marRight w:val="0"/>
          <w:marTop w:val="0"/>
          <w:marBottom w:val="0"/>
          <w:divBdr>
            <w:top w:val="none" w:sz="0" w:space="0" w:color="auto"/>
            <w:left w:val="none" w:sz="0" w:space="0" w:color="auto"/>
            <w:bottom w:val="none" w:sz="0" w:space="0" w:color="auto"/>
            <w:right w:val="none" w:sz="0" w:space="0" w:color="auto"/>
          </w:divBdr>
        </w:div>
        <w:div w:id="1610118805">
          <w:marLeft w:val="0"/>
          <w:marRight w:val="0"/>
          <w:marTop w:val="0"/>
          <w:marBottom w:val="0"/>
          <w:divBdr>
            <w:top w:val="none" w:sz="0" w:space="0" w:color="auto"/>
            <w:left w:val="none" w:sz="0" w:space="0" w:color="auto"/>
            <w:bottom w:val="none" w:sz="0" w:space="0" w:color="auto"/>
            <w:right w:val="none" w:sz="0" w:space="0" w:color="auto"/>
          </w:divBdr>
        </w:div>
        <w:div w:id="1261570775">
          <w:marLeft w:val="0"/>
          <w:marRight w:val="0"/>
          <w:marTop w:val="0"/>
          <w:marBottom w:val="0"/>
          <w:divBdr>
            <w:top w:val="none" w:sz="0" w:space="0" w:color="auto"/>
            <w:left w:val="none" w:sz="0" w:space="0" w:color="auto"/>
            <w:bottom w:val="none" w:sz="0" w:space="0" w:color="auto"/>
            <w:right w:val="none" w:sz="0" w:space="0" w:color="auto"/>
          </w:divBdr>
        </w:div>
        <w:div w:id="1975676727">
          <w:marLeft w:val="0"/>
          <w:marRight w:val="0"/>
          <w:marTop w:val="0"/>
          <w:marBottom w:val="0"/>
          <w:divBdr>
            <w:top w:val="none" w:sz="0" w:space="0" w:color="auto"/>
            <w:left w:val="none" w:sz="0" w:space="0" w:color="auto"/>
            <w:bottom w:val="none" w:sz="0" w:space="0" w:color="auto"/>
            <w:right w:val="none" w:sz="0" w:space="0" w:color="auto"/>
          </w:divBdr>
        </w:div>
        <w:div w:id="1076051765">
          <w:marLeft w:val="0"/>
          <w:marRight w:val="0"/>
          <w:marTop w:val="0"/>
          <w:marBottom w:val="0"/>
          <w:divBdr>
            <w:top w:val="none" w:sz="0" w:space="0" w:color="auto"/>
            <w:left w:val="none" w:sz="0" w:space="0" w:color="auto"/>
            <w:bottom w:val="none" w:sz="0" w:space="0" w:color="auto"/>
            <w:right w:val="none" w:sz="0" w:space="0" w:color="auto"/>
          </w:divBdr>
        </w:div>
        <w:div w:id="29233761">
          <w:marLeft w:val="0"/>
          <w:marRight w:val="0"/>
          <w:marTop w:val="0"/>
          <w:marBottom w:val="0"/>
          <w:divBdr>
            <w:top w:val="none" w:sz="0" w:space="0" w:color="auto"/>
            <w:left w:val="none" w:sz="0" w:space="0" w:color="auto"/>
            <w:bottom w:val="none" w:sz="0" w:space="0" w:color="auto"/>
            <w:right w:val="none" w:sz="0" w:space="0" w:color="auto"/>
          </w:divBdr>
        </w:div>
        <w:div w:id="642465463">
          <w:marLeft w:val="0"/>
          <w:marRight w:val="0"/>
          <w:marTop w:val="0"/>
          <w:marBottom w:val="0"/>
          <w:divBdr>
            <w:top w:val="none" w:sz="0" w:space="0" w:color="auto"/>
            <w:left w:val="none" w:sz="0" w:space="0" w:color="auto"/>
            <w:bottom w:val="none" w:sz="0" w:space="0" w:color="auto"/>
            <w:right w:val="none" w:sz="0" w:space="0" w:color="auto"/>
          </w:divBdr>
        </w:div>
        <w:div w:id="125050330">
          <w:marLeft w:val="0"/>
          <w:marRight w:val="0"/>
          <w:marTop w:val="0"/>
          <w:marBottom w:val="0"/>
          <w:divBdr>
            <w:top w:val="none" w:sz="0" w:space="0" w:color="auto"/>
            <w:left w:val="none" w:sz="0" w:space="0" w:color="auto"/>
            <w:bottom w:val="none" w:sz="0" w:space="0" w:color="auto"/>
            <w:right w:val="none" w:sz="0" w:space="0" w:color="auto"/>
          </w:divBdr>
        </w:div>
        <w:div w:id="870725945">
          <w:marLeft w:val="0"/>
          <w:marRight w:val="0"/>
          <w:marTop w:val="0"/>
          <w:marBottom w:val="0"/>
          <w:divBdr>
            <w:top w:val="none" w:sz="0" w:space="0" w:color="auto"/>
            <w:left w:val="none" w:sz="0" w:space="0" w:color="auto"/>
            <w:bottom w:val="none" w:sz="0" w:space="0" w:color="auto"/>
            <w:right w:val="none" w:sz="0" w:space="0" w:color="auto"/>
          </w:divBdr>
        </w:div>
        <w:div w:id="1286815828">
          <w:marLeft w:val="0"/>
          <w:marRight w:val="0"/>
          <w:marTop w:val="0"/>
          <w:marBottom w:val="0"/>
          <w:divBdr>
            <w:top w:val="none" w:sz="0" w:space="0" w:color="auto"/>
            <w:left w:val="none" w:sz="0" w:space="0" w:color="auto"/>
            <w:bottom w:val="none" w:sz="0" w:space="0" w:color="auto"/>
            <w:right w:val="none" w:sz="0" w:space="0" w:color="auto"/>
          </w:divBdr>
        </w:div>
        <w:div w:id="1602370778">
          <w:marLeft w:val="0"/>
          <w:marRight w:val="0"/>
          <w:marTop w:val="0"/>
          <w:marBottom w:val="0"/>
          <w:divBdr>
            <w:top w:val="none" w:sz="0" w:space="0" w:color="auto"/>
            <w:left w:val="none" w:sz="0" w:space="0" w:color="auto"/>
            <w:bottom w:val="none" w:sz="0" w:space="0" w:color="auto"/>
            <w:right w:val="none" w:sz="0" w:space="0" w:color="auto"/>
          </w:divBdr>
        </w:div>
        <w:div w:id="9262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BCD79D-1068-42A4-B0D0-D1E55CEF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4099</Words>
  <Characters>22546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2</cp:revision>
  <cp:lastPrinted>2025-05-29T16:18:00Z</cp:lastPrinted>
  <dcterms:created xsi:type="dcterms:W3CDTF">2025-06-04T22:31:00Z</dcterms:created>
  <dcterms:modified xsi:type="dcterms:W3CDTF">2025-06-04T22:31:00Z</dcterms:modified>
</cp:coreProperties>
</file>